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42817" w14:textId="2F3BE2D8" w:rsidR="007301F0" w:rsidRPr="00A272E4" w:rsidRDefault="007301F0" w:rsidP="004776B7">
      <w:pPr>
        <w:overflowPunct w:val="0"/>
        <w:spacing w:line="548" w:lineRule="exact"/>
        <w:jc w:val="left"/>
        <w:rPr>
          <w:rFonts w:eastAsia="黑体"/>
          <w:bCs/>
          <w:szCs w:val="32"/>
        </w:rPr>
      </w:pPr>
      <w:r w:rsidRPr="00A272E4">
        <w:rPr>
          <w:rFonts w:eastAsia="黑体"/>
          <w:bCs/>
          <w:szCs w:val="32"/>
        </w:rPr>
        <w:t>附件</w:t>
      </w:r>
      <w:r w:rsidR="00EF465F" w:rsidRPr="00A272E4">
        <w:rPr>
          <w:rFonts w:eastAsia="黑体"/>
          <w:bCs/>
          <w:szCs w:val="32"/>
        </w:rPr>
        <w:t>3</w:t>
      </w:r>
    </w:p>
    <w:p w14:paraId="4FAF6A38" w14:textId="77777777" w:rsidR="007301F0" w:rsidRPr="00A272E4" w:rsidRDefault="007301F0" w:rsidP="004776B7">
      <w:pPr>
        <w:overflowPunct w:val="0"/>
        <w:spacing w:line="600" w:lineRule="exact"/>
        <w:jc w:val="left"/>
        <w:rPr>
          <w:rFonts w:eastAsia="方正小标宋简体"/>
          <w:bCs/>
          <w:sz w:val="44"/>
          <w:szCs w:val="44"/>
        </w:rPr>
      </w:pPr>
    </w:p>
    <w:p w14:paraId="66ED4DE4" w14:textId="1BE81E03" w:rsidR="00A16C7E" w:rsidRPr="00A272E4" w:rsidRDefault="00EF465F" w:rsidP="004776B7">
      <w:pPr>
        <w:overflowPunct w:val="0"/>
        <w:spacing w:line="600" w:lineRule="exact"/>
        <w:jc w:val="center"/>
        <w:rPr>
          <w:rFonts w:eastAsia="方正小标宋简体"/>
          <w:bCs/>
          <w:sz w:val="44"/>
          <w:szCs w:val="44"/>
        </w:rPr>
      </w:pPr>
      <w:r w:rsidRPr="00A272E4">
        <w:rPr>
          <w:rFonts w:eastAsia="方正小标宋简体"/>
          <w:bCs/>
          <w:sz w:val="44"/>
          <w:szCs w:val="44"/>
        </w:rPr>
        <w:t>冠脉修饰性球囊临床试验注册审查指导原则</w:t>
      </w:r>
    </w:p>
    <w:p w14:paraId="33313314" w14:textId="77777777" w:rsidR="00D97905" w:rsidRPr="00A272E4" w:rsidRDefault="00D97905" w:rsidP="004776B7">
      <w:pPr>
        <w:overflowPunct w:val="0"/>
        <w:spacing w:line="600" w:lineRule="exact"/>
        <w:jc w:val="center"/>
        <w:rPr>
          <w:rFonts w:eastAsia="方正小标宋简体"/>
          <w:bCs/>
          <w:sz w:val="44"/>
          <w:szCs w:val="44"/>
        </w:rPr>
      </w:pPr>
    </w:p>
    <w:p w14:paraId="101B2AE1" w14:textId="77777777" w:rsidR="00EF465F" w:rsidRPr="00A272E4" w:rsidRDefault="00EF465F" w:rsidP="004776B7">
      <w:pPr>
        <w:overflowPunct w:val="0"/>
        <w:adjustRightInd w:val="0"/>
        <w:snapToGrid w:val="0"/>
        <w:spacing w:line="548" w:lineRule="exact"/>
        <w:ind w:firstLineChars="200" w:firstLine="640"/>
        <w:rPr>
          <w:rFonts w:eastAsia="仿宋_GB2312"/>
          <w:bCs/>
          <w:szCs w:val="32"/>
        </w:rPr>
      </w:pPr>
      <w:r w:rsidRPr="00A272E4">
        <w:rPr>
          <w:rFonts w:eastAsia="仿宋_GB2312"/>
          <w:bCs/>
          <w:szCs w:val="32"/>
        </w:rPr>
        <w:t>本指导原则旨在为监管部门对</w:t>
      </w:r>
      <w:r w:rsidRPr="00A272E4">
        <w:rPr>
          <w:rFonts w:eastAsia="仿宋_GB2312"/>
          <w:szCs w:val="32"/>
        </w:rPr>
        <w:t>冠脉修饰性球囊</w:t>
      </w:r>
      <w:r w:rsidRPr="00A272E4">
        <w:rPr>
          <w:rFonts w:eastAsia="仿宋_GB2312"/>
          <w:bCs/>
          <w:szCs w:val="32"/>
        </w:rPr>
        <w:t>注册申报资料的技术审评提供技术指导，同时也为注册申请人进行该类产品的注册申报提供参考。</w:t>
      </w:r>
    </w:p>
    <w:p w14:paraId="7D48A14C" w14:textId="77777777" w:rsidR="00EF465F" w:rsidRPr="00A272E4" w:rsidRDefault="00EF465F" w:rsidP="004776B7">
      <w:pPr>
        <w:overflowPunct w:val="0"/>
        <w:adjustRightInd w:val="0"/>
        <w:snapToGrid w:val="0"/>
        <w:spacing w:line="548" w:lineRule="exact"/>
        <w:ind w:firstLineChars="200" w:firstLine="640"/>
        <w:rPr>
          <w:rFonts w:eastAsia="仿宋_GB2312"/>
          <w:bCs/>
          <w:szCs w:val="32"/>
        </w:rPr>
      </w:pPr>
      <w:r w:rsidRPr="00A272E4">
        <w:rPr>
          <w:rFonts w:eastAsia="仿宋_GB2312"/>
          <w:bCs/>
          <w:szCs w:val="32"/>
        </w:rPr>
        <w:t>本指导原则是</w:t>
      </w:r>
      <w:proofErr w:type="gramStart"/>
      <w:r w:rsidRPr="00A272E4">
        <w:rPr>
          <w:rFonts w:eastAsia="仿宋_GB2312"/>
          <w:bCs/>
          <w:szCs w:val="32"/>
        </w:rPr>
        <w:t>供注册</w:t>
      </w:r>
      <w:proofErr w:type="gramEnd"/>
      <w:r w:rsidRPr="00A272E4">
        <w:rPr>
          <w:rFonts w:eastAsia="仿宋_GB2312"/>
          <w:bCs/>
          <w:szCs w:val="32"/>
        </w:rPr>
        <w:t>申请人和技术审评人员使用的指导性文件，但不包括审批所涉及的行政事项，亦不作为法规强制执行，应在遵循相关法规的前提下使用本指导原则。如果有能够满足相关法规要求的其他方法也可以采用，但是需要提供详细的研究资料和验证资料。应在遵循相关法规和标准的前提下使用本指导原则。</w:t>
      </w:r>
    </w:p>
    <w:p w14:paraId="6660DD37" w14:textId="77777777" w:rsidR="00EF465F" w:rsidRPr="00A272E4" w:rsidRDefault="00EF465F" w:rsidP="004776B7">
      <w:pPr>
        <w:overflowPunct w:val="0"/>
        <w:adjustRightInd w:val="0"/>
        <w:snapToGrid w:val="0"/>
        <w:spacing w:line="548" w:lineRule="exact"/>
        <w:ind w:firstLineChars="200" w:firstLine="640"/>
        <w:rPr>
          <w:rFonts w:eastAsia="仿宋_GB2312"/>
          <w:bCs/>
          <w:szCs w:val="32"/>
        </w:rPr>
      </w:pPr>
      <w:r w:rsidRPr="00A272E4">
        <w:rPr>
          <w:rFonts w:eastAsia="仿宋_GB2312"/>
          <w:bCs/>
          <w:szCs w:val="32"/>
        </w:rPr>
        <w:t>本指导原则是在现行法规和标准体系以及当前认知水平下制定，随着法规和标准的不断完善以及科学技术的不断发展，本指导原则相关内容也将适时进行调整。</w:t>
      </w:r>
    </w:p>
    <w:p w14:paraId="2D136385" w14:textId="77777777" w:rsidR="00EF465F" w:rsidRPr="00A272E4" w:rsidRDefault="00EF465F" w:rsidP="004776B7">
      <w:pPr>
        <w:keepNext/>
        <w:keepLines/>
        <w:adjustRightInd w:val="0"/>
        <w:snapToGrid w:val="0"/>
        <w:spacing w:line="548" w:lineRule="exact"/>
        <w:ind w:firstLineChars="200" w:firstLine="640"/>
        <w:outlineLvl w:val="0"/>
        <w:rPr>
          <w:rFonts w:eastAsia="黑体"/>
          <w:bCs/>
          <w:kern w:val="44"/>
          <w:szCs w:val="32"/>
        </w:rPr>
      </w:pPr>
      <w:r w:rsidRPr="00A272E4">
        <w:rPr>
          <w:rFonts w:eastAsia="黑体"/>
          <w:bCs/>
          <w:kern w:val="44"/>
          <w:szCs w:val="32"/>
        </w:rPr>
        <w:t>一、适用范围</w:t>
      </w:r>
    </w:p>
    <w:p w14:paraId="5BDDA54E"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临床上将</w:t>
      </w:r>
      <w:r w:rsidRPr="00A272E4">
        <w:rPr>
          <w:rFonts w:eastAsia="仿宋_GB2312"/>
          <w:szCs w:val="32"/>
        </w:rPr>
        <w:t>“</w:t>
      </w:r>
      <w:r w:rsidRPr="00A272E4">
        <w:rPr>
          <w:rFonts w:eastAsia="仿宋_GB2312"/>
          <w:szCs w:val="32"/>
        </w:rPr>
        <w:t>有修饰斑块作用的球囊</w:t>
      </w:r>
      <w:r w:rsidRPr="00A272E4">
        <w:rPr>
          <w:rFonts w:eastAsia="仿宋_GB2312"/>
          <w:szCs w:val="32"/>
        </w:rPr>
        <w:t>”</w:t>
      </w:r>
      <w:r w:rsidRPr="00A272E4">
        <w:rPr>
          <w:rFonts w:eastAsia="仿宋_GB2312"/>
          <w:szCs w:val="32"/>
        </w:rPr>
        <w:t>统称为修饰性球囊，通常包括切割球囊、</w:t>
      </w:r>
      <w:r w:rsidRPr="00A272E4">
        <w:rPr>
          <w:rFonts w:eastAsia="仿宋_GB2312"/>
          <w:szCs w:val="32"/>
        </w:rPr>
        <w:t xml:space="preserve"> </w:t>
      </w:r>
      <w:r w:rsidRPr="00A272E4">
        <w:rPr>
          <w:rFonts w:eastAsia="仿宋_GB2312"/>
          <w:szCs w:val="32"/>
        </w:rPr>
        <w:t>棘突球囊和刻痕球囊（</w:t>
      </w:r>
      <w:proofErr w:type="gramStart"/>
      <w:r w:rsidRPr="00A272E4">
        <w:rPr>
          <w:rFonts w:eastAsia="仿宋_GB2312"/>
          <w:szCs w:val="32"/>
        </w:rPr>
        <w:t>包括双导丝</w:t>
      </w:r>
      <w:proofErr w:type="gramEnd"/>
      <w:r w:rsidRPr="00A272E4">
        <w:rPr>
          <w:rFonts w:eastAsia="仿宋_GB2312"/>
          <w:szCs w:val="32"/>
        </w:rPr>
        <w:t>、</w:t>
      </w:r>
      <w:proofErr w:type="gramStart"/>
      <w:r w:rsidRPr="00A272E4">
        <w:rPr>
          <w:rFonts w:eastAsia="仿宋_GB2312"/>
          <w:szCs w:val="32"/>
        </w:rPr>
        <w:t>三导丝</w:t>
      </w:r>
      <w:proofErr w:type="gramEnd"/>
      <w:r w:rsidRPr="00A272E4">
        <w:rPr>
          <w:rFonts w:eastAsia="仿宋_GB2312"/>
          <w:szCs w:val="32"/>
        </w:rPr>
        <w:t>球囊），其原理有相似之处（切割球囊为显微外科刀片，棘突球囊为棘突棱，</w:t>
      </w:r>
      <w:proofErr w:type="gramStart"/>
      <w:r w:rsidRPr="00A272E4">
        <w:rPr>
          <w:rFonts w:eastAsia="仿宋_GB2312"/>
          <w:szCs w:val="32"/>
        </w:rPr>
        <w:t>双导丝</w:t>
      </w:r>
      <w:proofErr w:type="gramEnd"/>
      <w:r w:rsidRPr="00A272E4">
        <w:rPr>
          <w:rFonts w:eastAsia="仿宋_GB2312"/>
          <w:szCs w:val="32"/>
        </w:rPr>
        <w:t>球囊为金属丝），该类产品分类编码为</w:t>
      </w:r>
      <w:r w:rsidRPr="00A272E4">
        <w:rPr>
          <w:rFonts w:eastAsia="仿宋_GB2312"/>
          <w:szCs w:val="32"/>
        </w:rPr>
        <w:t>03-13-06</w:t>
      </w:r>
      <w:r w:rsidRPr="00A272E4">
        <w:rPr>
          <w:rFonts w:eastAsia="仿宋_GB2312"/>
          <w:szCs w:val="32"/>
        </w:rPr>
        <w:t>或</w:t>
      </w:r>
      <w:r w:rsidRPr="00A272E4">
        <w:rPr>
          <w:rFonts w:eastAsia="仿宋_GB2312"/>
          <w:szCs w:val="32"/>
        </w:rPr>
        <w:t>03-13-07</w:t>
      </w:r>
      <w:r w:rsidRPr="00A272E4">
        <w:rPr>
          <w:rFonts w:eastAsia="仿宋_GB2312"/>
          <w:szCs w:val="32"/>
        </w:rPr>
        <w:t>，管理类别为第三类。该类产品在临床上通常</w:t>
      </w:r>
      <w:r w:rsidRPr="00A272E4">
        <w:rPr>
          <w:rFonts w:eastAsia="仿宋_GB2312"/>
          <w:szCs w:val="32"/>
        </w:rPr>
        <w:lastRenderedPageBreak/>
        <w:t>定位于血管病变的预处理，具体适用场景包括：支架内再狭窄病变；开口病变；分叉病变；轻中度钙化病变或重度钙化病变经过旋磨等预处理后</w:t>
      </w:r>
      <w:bookmarkStart w:id="0" w:name="OLE_LINK1"/>
      <w:r w:rsidRPr="00A272E4">
        <w:rPr>
          <w:rFonts w:eastAsia="仿宋_GB2312"/>
          <w:szCs w:val="32"/>
        </w:rPr>
        <w:t>的情况；纤维性病变等常规球囊处理效果不佳的，经腔内影像确认后，使用常规球囊扩张后仍然效果不佳</w:t>
      </w:r>
      <w:bookmarkEnd w:id="0"/>
      <w:r w:rsidRPr="00A272E4">
        <w:rPr>
          <w:rFonts w:eastAsia="仿宋_GB2312"/>
          <w:szCs w:val="32"/>
        </w:rPr>
        <w:t>的情况。</w:t>
      </w:r>
    </w:p>
    <w:p w14:paraId="611B7FD2"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bookmarkStart w:id="1" w:name="_Hlk144800136"/>
      <w:r w:rsidRPr="00A272E4">
        <w:rPr>
          <w:rFonts w:eastAsia="仿宋_GB2312"/>
          <w:szCs w:val="32"/>
        </w:rPr>
        <w:t>本指导原则适用的修饰性球囊是通过局部应力集中原理，从而使得冠状动脉钙化病变等复杂病变有序断裂继而扩张血管，本指导原则不适用于其他原理或其他预期应用场景的特殊设计球囊，例如血管冲击波导管，乳突球囊扩张导管、约束型球囊扩张导管、旋切</w:t>
      </w:r>
      <w:r w:rsidRPr="00A272E4">
        <w:rPr>
          <w:rFonts w:eastAsia="仿宋_GB2312"/>
          <w:szCs w:val="32"/>
        </w:rPr>
        <w:t>/</w:t>
      </w:r>
      <w:r w:rsidRPr="00A272E4">
        <w:rPr>
          <w:rFonts w:eastAsia="仿宋_GB2312"/>
          <w:szCs w:val="32"/>
        </w:rPr>
        <w:t>旋磨导管以及应用于外周血管、神经血管的修饰性球囊扩张导管等。上述相关产品可参照本指导原则中适用部分的要求。</w:t>
      </w:r>
      <w:bookmarkEnd w:id="1"/>
    </w:p>
    <w:p w14:paraId="77037700" w14:textId="77777777" w:rsidR="00EF465F" w:rsidRPr="00A272E4" w:rsidRDefault="00EF465F" w:rsidP="004776B7">
      <w:pPr>
        <w:autoSpaceDE w:val="0"/>
        <w:autoSpaceDN w:val="0"/>
        <w:adjustRightInd w:val="0"/>
        <w:snapToGrid w:val="0"/>
        <w:spacing w:line="548" w:lineRule="exact"/>
        <w:ind w:firstLineChars="200" w:firstLine="640"/>
        <w:rPr>
          <w:rFonts w:eastAsia="仿宋_GB2312"/>
          <w:szCs w:val="32"/>
        </w:rPr>
      </w:pPr>
      <w:r w:rsidRPr="00A272E4">
        <w:rPr>
          <w:rFonts w:eastAsia="仿宋_GB2312"/>
          <w:szCs w:val="32"/>
        </w:rPr>
        <w:t>如有符合我国注册相关要求的境外临床试验数据，在遵循伦理、依法、科学的原则下，保证数据科学、完整、充分时，可参照《接受医疗器械境外临床试验数据技术指导原则》作为临床试验资料提交，选择临床试验路径进行临床评价。</w:t>
      </w:r>
    </w:p>
    <w:p w14:paraId="5AF9216D" w14:textId="77777777" w:rsidR="00EF465F" w:rsidRPr="00A272E4" w:rsidRDefault="00EF465F" w:rsidP="004776B7">
      <w:pPr>
        <w:keepNext/>
        <w:keepLines/>
        <w:adjustRightInd w:val="0"/>
        <w:snapToGrid w:val="0"/>
        <w:spacing w:line="548" w:lineRule="exact"/>
        <w:ind w:firstLineChars="200" w:firstLine="640"/>
        <w:outlineLvl w:val="0"/>
        <w:rPr>
          <w:rFonts w:eastAsia="黑体"/>
          <w:bCs/>
          <w:kern w:val="44"/>
          <w:szCs w:val="32"/>
        </w:rPr>
      </w:pPr>
      <w:r w:rsidRPr="00A272E4">
        <w:rPr>
          <w:rFonts w:eastAsia="黑体"/>
          <w:bCs/>
          <w:kern w:val="44"/>
          <w:szCs w:val="32"/>
        </w:rPr>
        <w:t>二、立题依据</w:t>
      </w:r>
    </w:p>
    <w:p w14:paraId="22843821" w14:textId="77777777" w:rsidR="00EF465F" w:rsidRPr="00A272E4" w:rsidRDefault="00EF465F" w:rsidP="004776B7">
      <w:pPr>
        <w:autoSpaceDE w:val="0"/>
        <w:autoSpaceDN w:val="0"/>
        <w:adjustRightInd w:val="0"/>
        <w:snapToGrid w:val="0"/>
        <w:spacing w:line="548" w:lineRule="exact"/>
        <w:ind w:firstLineChars="200" w:firstLine="640"/>
        <w:rPr>
          <w:rFonts w:eastAsia="仿宋_GB2312"/>
          <w:szCs w:val="32"/>
        </w:rPr>
      </w:pPr>
      <w:r w:rsidRPr="00A272E4">
        <w:rPr>
          <w:rFonts w:eastAsia="仿宋_GB2312"/>
          <w:szCs w:val="32"/>
        </w:rPr>
        <w:t>申请人需结合临床应用需求等方面分析并明确产品的立题依据，说明产品在设计上及临床前验证和临床确认方面如何满足临床一线的需要，并在综述资料或临床评价报告中提交相应资料。</w:t>
      </w:r>
    </w:p>
    <w:p w14:paraId="456A022F" w14:textId="77777777" w:rsidR="00EF465F" w:rsidRPr="00A272E4" w:rsidRDefault="00EF465F" w:rsidP="004776B7">
      <w:pPr>
        <w:keepNext/>
        <w:keepLines/>
        <w:adjustRightInd w:val="0"/>
        <w:snapToGrid w:val="0"/>
        <w:spacing w:line="548" w:lineRule="exact"/>
        <w:ind w:firstLineChars="200" w:firstLine="640"/>
        <w:outlineLvl w:val="0"/>
        <w:rPr>
          <w:rFonts w:eastAsia="黑体"/>
          <w:bCs/>
          <w:kern w:val="44"/>
          <w:szCs w:val="32"/>
        </w:rPr>
      </w:pPr>
      <w:r w:rsidRPr="00A272E4">
        <w:rPr>
          <w:rFonts w:eastAsia="黑体"/>
          <w:bCs/>
          <w:kern w:val="44"/>
          <w:szCs w:val="32"/>
        </w:rPr>
        <w:lastRenderedPageBreak/>
        <w:t>三、临床试验设计</w:t>
      </w:r>
    </w:p>
    <w:p w14:paraId="0EE2A7C2" w14:textId="77777777" w:rsidR="00EF465F" w:rsidRPr="00A272E4" w:rsidRDefault="00EF465F" w:rsidP="004776B7">
      <w:pPr>
        <w:keepNext/>
        <w:keepLines/>
        <w:adjustRightInd w:val="0"/>
        <w:snapToGrid w:val="0"/>
        <w:spacing w:line="548" w:lineRule="exact"/>
        <w:ind w:firstLineChars="200" w:firstLine="640"/>
        <w:outlineLvl w:val="2"/>
        <w:rPr>
          <w:rFonts w:eastAsia="楷体"/>
          <w:bCs/>
          <w:szCs w:val="32"/>
        </w:rPr>
      </w:pPr>
      <w:r w:rsidRPr="00A272E4">
        <w:rPr>
          <w:rFonts w:eastAsia="楷体"/>
          <w:bCs/>
          <w:szCs w:val="32"/>
        </w:rPr>
        <w:t>（一）临床试验目的</w:t>
      </w:r>
    </w:p>
    <w:p w14:paraId="284A796C"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临床试验目的一般是评价申报产品在预期适用范围下对复杂斑块的预处理效果，以及使用一段时间后的安全性。</w:t>
      </w:r>
    </w:p>
    <w:p w14:paraId="4C20E3B3" w14:textId="77777777" w:rsidR="00EF465F" w:rsidRPr="00A272E4" w:rsidRDefault="00EF465F" w:rsidP="004776B7">
      <w:pPr>
        <w:keepNext/>
        <w:keepLines/>
        <w:adjustRightInd w:val="0"/>
        <w:snapToGrid w:val="0"/>
        <w:spacing w:line="548" w:lineRule="exact"/>
        <w:ind w:firstLineChars="200" w:firstLine="640"/>
        <w:outlineLvl w:val="2"/>
        <w:rPr>
          <w:rFonts w:eastAsia="楷体_GB2312"/>
          <w:b/>
          <w:szCs w:val="32"/>
        </w:rPr>
      </w:pPr>
      <w:r w:rsidRPr="00A272E4">
        <w:rPr>
          <w:rFonts w:eastAsia="楷体"/>
          <w:bCs/>
          <w:szCs w:val="32"/>
        </w:rPr>
        <w:t>（二）</w:t>
      </w:r>
      <w:bookmarkStart w:id="2" w:name="_Hlk144800172"/>
      <w:r w:rsidRPr="00A272E4">
        <w:rPr>
          <w:rFonts w:eastAsia="楷体"/>
          <w:bCs/>
          <w:szCs w:val="32"/>
        </w:rPr>
        <w:t>临床试验基本设计类型</w:t>
      </w:r>
      <w:bookmarkEnd w:id="2"/>
    </w:p>
    <w:p w14:paraId="24CC1E19"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冠脉修饰性球囊通过凸出的刻痕丝、切割刀片或棘突</w:t>
      </w:r>
      <w:proofErr w:type="gramStart"/>
      <w:r w:rsidRPr="00A272E4">
        <w:rPr>
          <w:rFonts w:eastAsia="仿宋_GB2312"/>
          <w:szCs w:val="32"/>
        </w:rPr>
        <w:t>棱</w:t>
      </w:r>
      <w:proofErr w:type="gramEnd"/>
      <w:r w:rsidRPr="00A272E4">
        <w:rPr>
          <w:rFonts w:eastAsia="仿宋_GB2312"/>
          <w:szCs w:val="32"/>
        </w:rPr>
        <w:t>实现局部的应力集中，临床一般定位于对复杂病变的预处理，该类产品技术比较成熟且对其适用疾病已有深刻了解，临床经验丰富，预期临床效果较为明确，存在领域内较为公认的安全有效性指标所应达到的最低标准。冠脉修饰性球囊注册临床试验可开展单组设计或对照设计的临床试验。不同设计的修饰性球囊（如切割球囊、</w:t>
      </w:r>
      <w:r w:rsidRPr="00A272E4">
        <w:rPr>
          <w:rFonts w:eastAsia="仿宋_GB2312"/>
          <w:szCs w:val="32"/>
        </w:rPr>
        <w:t xml:space="preserve"> </w:t>
      </w:r>
      <w:r w:rsidRPr="00A272E4">
        <w:rPr>
          <w:rFonts w:eastAsia="仿宋_GB2312"/>
          <w:szCs w:val="32"/>
        </w:rPr>
        <w:t>棘突球囊和刻痕球囊）需分别开展验证确认自身安全有效性的临床试验。</w:t>
      </w:r>
    </w:p>
    <w:p w14:paraId="45AB7747" w14:textId="77777777" w:rsidR="00EF465F" w:rsidRPr="00A272E4" w:rsidRDefault="00EF465F" w:rsidP="004776B7">
      <w:pPr>
        <w:keepNext/>
        <w:keepLines/>
        <w:adjustRightInd w:val="0"/>
        <w:snapToGrid w:val="0"/>
        <w:spacing w:line="548" w:lineRule="exact"/>
        <w:ind w:firstLineChars="200" w:firstLine="640"/>
        <w:outlineLvl w:val="2"/>
        <w:rPr>
          <w:rFonts w:eastAsia="楷体"/>
          <w:bCs/>
          <w:szCs w:val="32"/>
        </w:rPr>
      </w:pPr>
      <w:r w:rsidRPr="00A272E4">
        <w:rPr>
          <w:rFonts w:eastAsia="楷体"/>
          <w:bCs/>
          <w:szCs w:val="32"/>
        </w:rPr>
        <w:t>（三）研究对象</w:t>
      </w:r>
    </w:p>
    <w:p w14:paraId="5E0BC299"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临床试验需根据试验器械预期使用的目标人群，确定研究的总体人群。在综合考虑总体人群的代表性、伦理学要求、受试者安全性等因素的情况下，制定受试者的选择标准，即入选和排除标准。入选标准主要考虑受试对象对总体人群的代表性，如适应证、疾病的分型、疾病的程度和阶段、具体的使用部位、受试者年龄范围等因素。排除标准旨在尽可能规范受试者的同质性，将可能影响试验结果的混杂因素（如影响疗效评价的伴随治疗、伴随疾病等）予以排除，以达到评估试验器械效应的目的。具体需要考虑的要素如下：</w:t>
      </w:r>
    </w:p>
    <w:p w14:paraId="04353F54" w14:textId="77777777" w:rsidR="00EF465F" w:rsidRPr="00A272E4" w:rsidRDefault="00EF465F" w:rsidP="004776B7">
      <w:pPr>
        <w:overflowPunct w:val="0"/>
        <w:adjustRightInd w:val="0"/>
        <w:snapToGrid w:val="0"/>
        <w:spacing w:line="548" w:lineRule="exact"/>
        <w:ind w:firstLineChars="200" w:firstLine="640"/>
        <w:rPr>
          <w:rFonts w:eastAsia="仿宋_GB2312"/>
          <w:strike/>
          <w:szCs w:val="32"/>
        </w:rPr>
      </w:pPr>
      <w:r w:rsidRPr="00A272E4">
        <w:rPr>
          <w:rFonts w:eastAsia="仿宋_GB2312"/>
          <w:szCs w:val="32"/>
        </w:rPr>
        <w:lastRenderedPageBreak/>
        <w:t>一是入组人群需按照《冠状动脉球囊成形术与支架植入术操作规范》等临床指南、专家共识规范入组，患者需要进行并且可开展经皮冠状动脉介入治疗（</w:t>
      </w:r>
      <w:r w:rsidRPr="00A272E4">
        <w:rPr>
          <w:rFonts w:eastAsia="仿宋_GB2312"/>
          <w:szCs w:val="32"/>
        </w:rPr>
        <w:t>Percutaneous Coronary Intervention</w:t>
      </w:r>
      <w:r w:rsidRPr="00A272E4">
        <w:rPr>
          <w:rFonts w:eastAsia="仿宋_GB2312"/>
          <w:szCs w:val="32"/>
        </w:rPr>
        <w:t>，</w:t>
      </w:r>
      <w:r w:rsidRPr="00A272E4">
        <w:rPr>
          <w:rFonts w:eastAsia="仿宋_GB2312"/>
          <w:szCs w:val="32"/>
        </w:rPr>
        <w:t>PCI</w:t>
      </w:r>
      <w:r w:rsidRPr="00A272E4">
        <w:rPr>
          <w:rFonts w:eastAsia="仿宋_GB2312"/>
          <w:szCs w:val="32"/>
        </w:rPr>
        <w:t>）的患者。具体入组与排除要求可参考《中国经皮冠状动脉介入治疗指南》和《冠状动脉球囊成形术与支架植入术操作规范》中的相关适用情形。</w:t>
      </w:r>
    </w:p>
    <w:p w14:paraId="09CB2188" w14:textId="223F25ED"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二是需根据产品设计特征和拟申报产品适应证等设定合适的其他入组排除条件，例如考虑参考血管直径，病变长度、病变成角等。目前已批准的用于冠脉狭窄病变治疗的支架及药物球囊产品适用的参考血管直径一般为</w:t>
      </w:r>
      <w:r w:rsidRPr="00A272E4">
        <w:rPr>
          <w:rFonts w:eastAsia="仿宋_GB2312"/>
          <w:szCs w:val="32"/>
        </w:rPr>
        <w:t>2-4mm</w:t>
      </w:r>
      <w:r w:rsidRPr="00A272E4">
        <w:rPr>
          <w:rFonts w:eastAsia="仿宋_GB2312"/>
          <w:szCs w:val="32"/>
        </w:rPr>
        <w:t>，修饰性球囊的直径选择应更保守，一般球囊和血管直径比不超过</w:t>
      </w:r>
      <w:r w:rsidRPr="00A272E4">
        <w:rPr>
          <w:rFonts w:eastAsia="仿宋_GB2312"/>
          <w:szCs w:val="32"/>
        </w:rPr>
        <w:t>1</w:t>
      </w:r>
      <w:r w:rsidRPr="00A272E4">
        <w:rPr>
          <w:rFonts w:ascii="宋体" w:eastAsia="宋体" w:hAnsi="宋体" w:cs="宋体" w:hint="eastAsia"/>
          <w:szCs w:val="32"/>
        </w:rPr>
        <w:t>∶</w:t>
      </w:r>
      <w:r w:rsidRPr="00A272E4">
        <w:rPr>
          <w:rFonts w:eastAsia="仿宋_GB2312"/>
          <w:szCs w:val="32"/>
        </w:rPr>
        <w:t>1</w:t>
      </w:r>
      <w:r w:rsidRPr="00A272E4">
        <w:rPr>
          <w:rFonts w:eastAsia="仿宋_GB2312"/>
          <w:szCs w:val="32"/>
        </w:rPr>
        <w:t>，建议比传统球囊直径小</w:t>
      </w:r>
      <w:r w:rsidRPr="00A272E4">
        <w:rPr>
          <w:rFonts w:eastAsia="仿宋_GB2312"/>
          <w:szCs w:val="32"/>
        </w:rPr>
        <w:t>0.25mm</w:t>
      </w:r>
      <w:r w:rsidRPr="00A272E4">
        <w:rPr>
          <w:rFonts w:eastAsia="仿宋_GB2312"/>
          <w:szCs w:val="32"/>
        </w:rPr>
        <w:t>，直径过大易造成严重夹层或穿孔。对于冠脉修饰性球囊用于药物涂层球囊前的预处理、支架内再狭窄病变时，球囊和血管直径</w:t>
      </w:r>
      <w:proofErr w:type="gramStart"/>
      <w:r w:rsidRPr="00A272E4">
        <w:rPr>
          <w:rFonts w:eastAsia="仿宋_GB2312"/>
          <w:szCs w:val="32"/>
        </w:rPr>
        <w:t>比建议</w:t>
      </w:r>
      <w:proofErr w:type="gramEnd"/>
      <w:r w:rsidRPr="00A272E4">
        <w:rPr>
          <w:rFonts w:eastAsia="仿宋_GB2312"/>
          <w:szCs w:val="32"/>
        </w:rPr>
        <w:t>为</w:t>
      </w:r>
      <w:r w:rsidRPr="00A272E4">
        <w:rPr>
          <w:rFonts w:eastAsia="仿宋_GB2312"/>
          <w:szCs w:val="32"/>
        </w:rPr>
        <w:t>0.9</w:t>
      </w:r>
      <w:r w:rsidRPr="00A272E4">
        <w:rPr>
          <w:rFonts w:ascii="宋体" w:eastAsia="宋体" w:hAnsi="宋体" w:cs="宋体" w:hint="eastAsia"/>
          <w:szCs w:val="32"/>
        </w:rPr>
        <w:t>∶</w:t>
      </w:r>
      <w:r w:rsidRPr="00A272E4">
        <w:rPr>
          <w:rFonts w:eastAsia="仿宋_GB2312"/>
          <w:szCs w:val="32"/>
        </w:rPr>
        <w:t>1</w:t>
      </w:r>
      <w:r w:rsidRPr="00A272E4">
        <w:rPr>
          <w:rFonts w:eastAsia="仿宋_GB2312"/>
          <w:szCs w:val="32"/>
        </w:rPr>
        <w:t>，原位病变为</w:t>
      </w:r>
      <w:r w:rsidRPr="00A272E4">
        <w:rPr>
          <w:rFonts w:eastAsia="仿宋_GB2312"/>
          <w:szCs w:val="32"/>
        </w:rPr>
        <w:t>0.8</w:t>
      </w:r>
      <w:r w:rsidRPr="00A272E4">
        <w:rPr>
          <w:rFonts w:ascii="宋体" w:eastAsia="宋体" w:hAnsi="宋体" w:cs="宋体" w:hint="eastAsia"/>
          <w:szCs w:val="32"/>
        </w:rPr>
        <w:t>∶</w:t>
      </w:r>
      <w:r w:rsidRPr="00A272E4">
        <w:rPr>
          <w:rFonts w:eastAsia="仿宋_GB2312"/>
          <w:szCs w:val="32"/>
        </w:rPr>
        <w:t>1</w:t>
      </w:r>
      <w:r w:rsidRPr="00A272E4">
        <w:rPr>
          <w:rFonts w:eastAsia="仿宋_GB2312"/>
          <w:szCs w:val="32"/>
        </w:rPr>
        <w:t>。对于切割球囊考虑到其通过性较差，且刀片可能引起血管的损伤问题，一般不适用于成角大于</w:t>
      </w:r>
      <w:r w:rsidRPr="00A272E4">
        <w:rPr>
          <w:rFonts w:eastAsia="仿宋_GB2312"/>
          <w:szCs w:val="32"/>
        </w:rPr>
        <w:t>45</w:t>
      </w:r>
      <w:r w:rsidR="00A272E4" w:rsidRPr="00A272E4">
        <w:rPr>
          <w:rFonts w:eastAsia="仿宋_GB2312"/>
          <w:szCs w:val="32"/>
        </w:rPr>
        <w:t>°</w:t>
      </w:r>
      <w:r w:rsidRPr="00A272E4">
        <w:rPr>
          <w:rFonts w:eastAsia="仿宋_GB2312"/>
          <w:szCs w:val="32"/>
        </w:rPr>
        <w:t>的病变，故临床试验中不建议入组上述情况。</w:t>
      </w:r>
    </w:p>
    <w:p w14:paraId="50D211BB"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三是临床试验需入组与修饰性球囊临床定位相匹配的复杂病变。根据冠状动脉球囊成形术与支架植入术操作规范</w:t>
      </w:r>
      <w:proofErr w:type="gramStart"/>
      <w:r w:rsidRPr="00A272E4">
        <w:rPr>
          <w:rFonts w:eastAsia="仿宋_GB2312"/>
          <w:szCs w:val="32"/>
        </w:rPr>
        <w:t>》</w:t>
      </w:r>
      <w:proofErr w:type="gramEnd"/>
      <w:r w:rsidRPr="00A272E4">
        <w:rPr>
          <w:rFonts w:eastAsia="仿宋_GB2312"/>
          <w:szCs w:val="32"/>
        </w:rPr>
        <w:t>，修饰性球囊的临床价值在于：</w:t>
      </w:r>
    </w:p>
    <w:p w14:paraId="25FF1D09"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1</w:t>
      </w:r>
      <w:r w:rsidRPr="00A272E4">
        <w:rPr>
          <w:rFonts w:eastAsia="仿宋_GB2312"/>
          <w:szCs w:val="32"/>
        </w:rPr>
        <w:t>．对于轻中度钙化等高阻力病变，修饰性球囊能够使内膜钙化断裂，提高扩张效果；</w:t>
      </w:r>
    </w:p>
    <w:p w14:paraId="47099D8A"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2</w:t>
      </w:r>
      <w:r w:rsidRPr="00A272E4">
        <w:rPr>
          <w:rFonts w:eastAsia="仿宋_GB2312"/>
          <w:szCs w:val="32"/>
        </w:rPr>
        <w:t>．普通球囊无序扩张造成的撕裂容易导致夹层血肿，增加</w:t>
      </w:r>
      <w:r w:rsidRPr="00A272E4">
        <w:rPr>
          <w:rFonts w:eastAsia="仿宋_GB2312"/>
          <w:szCs w:val="32"/>
        </w:rPr>
        <w:lastRenderedPageBreak/>
        <w:t>血管急性闭塞风险，修饰性球囊扩张后引导斑块撕裂多发生在血管长轴方向，从而减少限流性夹层形成；</w:t>
      </w:r>
    </w:p>
    <w:p w14:paraId="56ED849C"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3</w:t>
      </w:r>
      <w:r w:rsidRPr="00A272E4">
        <w:rPr>
          <w:rFonts w:eastAsia="仿宋_GB2312"/>
          <w:szCs w:val="32"/>
        </w:rPr>
        <w:t>．修饰性球囊扩张容易固定于斑块表面，避免球囊滑脱，减少</w:t>
      </w:r>
      <w:r w:rsidRPr="00A272E4">
        <w:rPr>
          <w:rFonts w:eastAsia="仿宋_GB2312"/>
          <w:szCs w:val="32"/>
        </w:rPr>
        <w:t>“</w:t>
      </w:r>
      <w:r w:rsidRPr="00A272E4">
        <w:rPr>
          <w:rFonts w:eastAsia="仿宋_GB2312"/>
          <w:szCs w:val="32"/>
        </w:rPr>
        <w:t>西瓜子效应</w:t>
      </w:r>
      <w:r w:rsidRPr="00A272E4">
        <w:rPr>
          <w:rFonts w:eastAsia="仿宋_GB2312"/>
          <w:szCs w:val="32"/>
        </w:rPr>
        <w:t>”</w:t>
      </w:r>
      <w:r w:rsidRPr="00A272E4">
        <w:rPr>
          <w:rFonts w:eastAsia="仿宋_GB2312"/>
          <w:szCs w:val="32"/>
        </w:rPr>
        <w:t>（尤其是支架内再狭窄病变），减少正常节段的意外损伤。</w:t>
      </w:r>
    </w:p>
    <w:p w14:paraId="71052777"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因此推荐纳入的病变包括开口病变、分叉病变、轻中度钙化病变、支架内再狭窄、纤维性病变等常规球囊处理效果不佳的，经腔内影像确认后，使用常规球囊扩张后仍然预处理效果不佳等的情形。临床试验中不建议纳入术前计划使用震波或</w:t>
      </w:r>
      <w:proofErr w:type="gramStart"/>
      <w:r w:rsidRPr="00A272E4">
        <w:rPr>
          <w:rFonts w:eastAsia="仿宋_GB2312"/>
          <w:szCs w:val="32"/>
        </w:rPr>
        <w:t>旋切旋磨</w:t>
      </w:r>
      <w:proofErr w:type="gramEnd"/>
      <w:r w:rsidRPr="00A272E4">
        <w:rPr>
          <w:rFonts w:eastAsia="仿宋_GB2312"/>
          <w:szCs w:val="32"/>
        </w:rPr>
        <w:t>等更积极的钙化修饰手段的情形。考虑到钙化病变是临床上最不利的典型病变情况，钙化病变比例需不低于</w:t>
      </w:r>
      <w:r w:rsidRPr="00A272E4">
        <w:rPr>
          <w:rFonts w:eastAsia="仿宋_GB2312"/>
          <w:szCs w:val="32"/>
        </w:rPr>
        <w:t>50</w:t>
      </w:r>
      <w:proofErr w:type="gramStart"/>
      <w:r w:rsidRPr="00A272E4">
        <w:rPr>
          <w:rFonts w:eastAsia="仿宋_GB2312"/>
          <w:szCs w:val="32"/>
        </w:rPr>
        <w:t>例且不</w:t>
      </w:r>
      <w:proofErr w:type="gramEnd"/>
      <w:r w:rsidRPr="00A272E4">
        <w:rPr>
          <w:rFonts w:eastAsia="仿宋_GB2312"/>
          <w:szCs w:val="32"/>
        </w:rPr>
        <w:t>低于总样本量的</w:t>
      </w:r>
      <w:r w:rsidRPr="00A272E4">
        <w:rPr>
          <w:rFonts w:eastAsia="仿宋_GB2312"/>
          <w:szCs w:val="32"/>
        </w:rPr>
        <w:t>30%</w:t>
      </w:r>
      <w:r w:rsidRPr="00A272E4">
        <w:rPr>
          <w:rFonts w:eastAsia="仿宋_GB2312"/>
          <w:szCs w:val="32"/>
        </w:rPr>
        <w:t>。若申请人拟申报</w:t>
      </w:r>
      <w:r w:rsidRPr="00A272E4">
        <w:rPr>
          <w:rFonts w:eastAsia="仿宋_GB2312"/>
          <w:kern w:val="0"/>
          <w:szCs w:val="32"/>
        </w:rPr>
        <w:t>慢性完全闭塞（</w:t>
      </w:r>
      <w:r w:rsidRPr="00A272E4">
        <w:rPr>
          <w:rFonts w:eastAsia="仿宋_GB2312"/>
          <w:kern w:val="0"/>
          <w:szCs w:val="32"/>
        </w:rPr>
        <w:t>Chronic Total Occlusion</w:t>
      </w:r>
      <w:r w:rsidRPr="00A272E4">
        <w:rPr>
          <w:rFonts w:eastAsia="仿宋_GB2312"/>
          <w:kern w:val="0"/>
          <w:szCs w:val="32"/>
        </w:rPr>
        <w:t>，</w:t>
      </w:r>
      <w:r w:rsidRPr="00A272E4">
        <w:rPr>
          <w:rFonts w:eastAsia="仿宋_GB2312"/>
          <w:kern w:val="0"/>
          <w:szCs w:val="32"/>
        </w:rPr>
        <w:t>CTO</w:t>
      </w:r>
      <w:r w:rsidRPr="00A272E4">
        <w:rPr>
          <w:rFonts w:eastAsia="仿宋_GB2312"/>
          <w:kern w:val="0"/>
          <w:szCs w:val="32"/>
        </w:rPr>
        <w:t>）及支架内再狭窄病变，需在临床试验有一定量入组，</w:t>
      </w:r>
      <w:r w:rsidRPr="00A272E4">
        <w:rPr>
          <w:rFonts w:eastAsia="仿宋_GB2312"/>
          <w:kern w:val="0"/>
          <w:szCs w:val="32"/>
        </w:rPr>
        <w:t>CTO</w:t>
      </w:r>
      <w:r w:rsidRPr="00A272E4">
        <w:rPr>
          <w:rFonts w:eastAsia="仿宋_GB2312"/>
          <w:kern w:val="0"/>
          <w:szCs w:val="32"/>
        </w:rPr>
        <w:t>病变数量宜不低于</w:t>
      </w:r>
      <w:r w:rsidRPr="00A272E4">
        <w:rPr>
          <w:rFonts w:eastAsia="仿宋_GB2312"/>
          <w:kern w:val="0"/>
          <w:szCs w:val="32"/>
        </w:rPr>
        <w:t>10</w:t>
      </w:r>
      <w:r w:rsidRPr="00A272E4">
        <w:rPr>
          <w:rFonts w:eastAsia="仿宋_GB2312"/>
          <w:kern w:val="0"/>
          <w:szCs w:val="32"/>
        </w:rPr>
        <w:t>例，支架内再狭窄病例宜不低于</w:t>
      </w:r>
      <w:r w:rsidRPr="00A272E4">
        <w:rPr>
          <w:rFonts w:eastAsia="仿宋_GB2312"/>
          <w:kern w:val="0"/>
          <w:szCs w:val="32"/>
        </w:rPr>
        <w:t>5</w:t>
      </w:r>
      <w:r w:rsidRPr="00A272E4">
        <w:rPr>
          <w:rFonts w:eastAsia="仿宋_GB2312"/>
          <w:kern w:val="0"/>
          <w:szCs w:val="32"/>
        </w:rPr>
        <w:t>例，若验证数量不足或结果不好的，需在适应证中明确不适用。开口病变、分叉病变若未入组的或结果不佳的，适应证中需明确不适用。</w:t>
      </w:r>
    </w:p>
    <w:p w14:paraId="6DC7F56A" w14:textId="77777777" w:rsidR="00EF465F" w:rsidRPr="00A272E4" w:rsidRDefault="00EF465F" w:rsidP="004776B7">
      <w:pPr>
        <w:keepNext/>
        <w:keepLines/>
        <w:adjustRightInd w:val="0"/>
        <w:snapToGrid w:val="0"/>
        <w:spacing w:line="548" w:lineRule="exact"/>
        <w:ind w:firstLineChars="200" w:firstLine="640"/>
        <w:outlineLvl w:val="2"/>
        <w:rPr>
          <w:rFonts w:eastAsia="楷体"/>
          <w:bCs/>
          <w:szCs w:val="32"/>
        </w:rPr>
      </w:pPr>
      <w:r w:rsidRPr="00A272E4">
        <w:rPr>
          <w:rFonts w:eastAsia="楷体"/>
          <w:bCs/>
          <w:szCs w:val="32"/>
        </w:rPr>
        <w:t>（四）评价指标</w:t>
      </w:r>
    </w:p>
    <w:p w14:paraId="2B1EE702"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注册申请人在临床方案中均应对研究终点进行明确的定义，提供确定依据，并应符合临床的常规诊疗。临床试验主要研究终点应选择具有临床意义的主要评价指标，并以此作为估算样本量的依据。</w:t>
      </w:r>
    </w:p>
    <w:p w14:paraId="5B91092C"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1.</w:t>
      </w:r>
      <w:r w:rsidRPr="00A272E4">
        <w:rPr>
          <w:rFonts w:eastAsia="仿宋_GB2312"/>
          <w:szCs w:val="32"/>
        </w:rPr>
        <w:t>主要评价指标</w:t>
      </w:r>
    </w:p>
    <w:p w14:paraId="6619C7D5"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kern w:val="0"/>
          <w:szCs w:val="32"/>
        </w:rPr>
        <w:lastRenderedPageBreak/>
        <w:t>应包括安全性和有效性评价指标。</w:t>
      </w:r>
      <w:r w:rsidRPr="00A272E4">
        <w:rPr>
          <w:rFonts w:eastAsia="仿宋_GB2312"/>
          <w:szCs w:val="32"/>
        </w:rPr>
        <w:t>主要安全性评价指标建议为</w:t>
      </w:r>
      <w:r w:rsidRPr="00A272E4">
        <w:rPr>
          <w:rFonts w:eastAsia="仿宋_GB2312"/>
          <w:szCs w:val="32"/>
        </w:rPr>
        <w:t>“</w:t>
      </w:r>
      <w:r w:rsidRPr="00A272E4">
        <w:rPr>
          <w:rFonts w:eastAsia="仿宋_GB2312"/>
          <w:szCs w:val="32"/>
        </w:rPr>
        <w:t>术后</w:t>
      </w:r>
      <w:r w:rsidRPr="00A272E4">
        <w:rPr>
          <w:rFonts w:eastAsia="仿宋_GB2312"/>
          <w:szCs w:val="32"/>
        </w:rPr>
        <w:t>14</w:t>
      </w:r>
      <w:r w:rsidRPr="00A272E4">
        <w:rPr>
          <w:rFonts w:eastAsia="仿宋_GB2312"/>
          <w:szCs w:val="32"/>
        </w:rPr>
        <w:t>天内无</w:t>
      </w:r>
      <w:bookmarkStart w:id="3" w:name="OLE_LINK2"/>
      <w:bookmarkStart w:id="4" w:name="OLE_LINK3"/>
      <w:r w:rsidRPr="00A272E4">
        <w:rPr>
          <w:rFonts w:eastAsia="仿宋_GB2312"/>
          <w:szCs w:val="32"/>
        </w:rPr>
        <w:t>主要心脏不良事件</w:t>
      </w:r>
      <w:bookmarkEnd w:id="3"/>
      <w:bookmarkEnd w:id="4"/>
      <w:r w:rsidRPr="00A272E4">
        <w:rPr>
          <w:rFonts w:eastAsia="仿宋_GB2312"/>
          <w:szCs w:val="32"/>
        </w:rPr>
        <w:t>（</w:t>
      </w:r>
      <w:r w:rsidRPr="00A272E4">
        <w:rPr>
          <w:rFonts w:eastAsia="等线"/>
          <w:color w:val="111111"/>
          <w:sz w:val="30"/>
          <w:szCs w:val="30"/>
          <w:shd w:val="clear" w:color="auto" w:fill="FFFFFF"/>
        </w:rPr>
        <w:t>Major Adverse Cardiovascular Events</w:t>
      </w:r>
      <w:r w:rsidRPr="00A272E4">
        <w:rPr>
          <w:rFonts w:eastAsia="等线"/>
          <w:color w:val="111111"/>
          <w:sz w:val="30"/>
          <w:szCs w:val="30"/>
          <w:shd w:val="clear" w:color="auto" w:fill="FFFFFF"/>
        </w:rPr>
        <w:t>，</w:t>
      </w:r>
      <w:r w:rsidRPr="00A272E4">
        <w:rPr>
          <w:rFonts w:eastAsia="仿宋_GB2312"/>
          <w:szCs w:val="32"/>
        </w:rPr>
        <w:t>MACE</w:t>
      </w:r>
      <w:r w:rsidRPr="00A272E4">
        <w:rPr>
          <w:rFonts w:eastAsia="仿宋_GB2312"/>
          <w:szCs w:val="32"/>
        </w:rPr>
        <w:t>）的比率</w:t>
      </w:r>
      <w:r w:rsidRPr="00A272E4">
        <w:rPr>
          <w:rFonts w:eastAsia="仿宋_GB2312"/>
          <w:szCs w:val="32"/>
        </w:rPr>
        <w:t>”</w:t>
      </w:r>
      <w:r w:rsidRPr="00A272E4">
        <w:rPr>
          <w:rFonts w:eastAsia="仿宋_GB2312"/>
          <w:szCs w:val="32"/>
        </w:rPr>
        <w:t>，其中</w:t>
      </w:r>
      <w:r w:rsidRPr="00A272E4">
        <w:rPr>
          <w:rFonts w:eastAsia="仿宋_GB2312"/>
          <w:szCs w:val="32"/>
        </w:rPr>
        <w:t>MACE</w:t>
      </w:r>
      <w:r w:rsidRPr="00A272E4">
        <w:rPr>
          <w:rFonts w:eastAsia="仿宋_GB2312"/>
          <w:szCs w:val="32"/>
        </w:rPr>
        <w:t>包括全因死亡（心源性及非心源性），心肌梗死，靶病变血运重建，靶血管支架内血栓形成，有临床意义的心律失常（需干预的）。</w:t>
      </w:r>
    </w:p>
    <w:p w14:paraId="061410F9"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主要有效性评价指标建议考虑手术成功率，定义为</w:t>
      </w:r>
      <w:r w:rsidRPr="00A272E4">
        <w:rPr>
          <w:rFonts w:eastAsia="仿宋_GB2312"/>
          <w:szCs w:val="32"/>
        </w:rPr>
        <w:t>“</w:t>
      </w:r>
      <w:r w:rsidRPr="00A272E4">
        <w:rPr>
          <w:rFonts w:eastAsia="仿宋_GB2312"/>
          <w:szCs w:val="32"/>
        </w:rPr>
        <w:t>术后即刻残余狭窄率</w:t>
      </w:r>
      <w:r w:rsidRPr="00A272E4">
        <w:rPr>
          <w:rFonts w:eastAsia="仿宋_GB2312"/>
          <w:szCs w:val="32"/>
        </w:rPr>
        <w:t>≤50%</w:t>
      </w:r>
      <w:r w:rsidRPr="00A272E4">
        <w:rPr>
          <w:rFonts w:eastAsia="仿宋_GB2312"/>
          <w:szCs w:val="32"/>
        </w:rPr>
        <w:t>，且围术期内无死亡、无心肌梗死、无靶病变血运重建</w:t>
      </w:r>
      <w:r w:rsidRPr="00A272E4">
        <w:rPr>
          <w:rFonts w:eastAsia="仿宋_GB2312"/>
          <w:szCs w:val="32"/>
        </w:rPr>
        <w:t>”</w:t>
      </w:r>
      <w:r w:rsidRPr="00A272E4">
        <w:rPr>
          <w:rFonts w:eastAsia="仿宋_GB2312"/>
          <w:szCs w:val="32"/>
        </w:rPr>
        <w:t>。</w:t>
      </w:r>
    </w:p>
    <w:p w14:paraId="4ADBC4B9"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2.</w:t>
      </w:r>
      <w:r w:rsidRPr="00A272E4">
        <w:rPr>
          <w:rFonts w:eastAsia="仿宋_GB2312"/>
          <w:szCs w:val="32"/>
        </w:rPr>
        <w:t>次要评价指标</w:t>
      </w:r>
    </w:p>
    <w:p w14:paraId="6C16C3BF" w14:textId="77777777" w:rsidR="00EF465F" w:rsidRPr="00A272E4" w:rsidRDefault="00EF465F" w:rsidP="004776B7">
      <w:pPr>
        <w:adjustRightInd w:val="0"/>
        <w:snapToGrid w:val="0"/>
        <w:spacing w:line="548" w:lineRule="exact"/>
        <w:ind w:firstLineChars="200" w:firstLine="640"/>
        <w:jc w:val="left"/>
        <w:rPr>
          <w:rFonts w:eastAsia="仿宋_GB2312"/>
          <w:szCs w:val="32"/>
        </w:rPr>
      </w:pPr>
      <w:r w:rsidRPr="00A272E4">
        <w:rPr>
          <w:rFonts w:eastAsia="仿宋_GB2312"/>
          <w:szCs w:val="32"/>
        </w:rPr>
        <w:t>次要有效性及安全性评价指标建议考虑如下方面：</w:t>
      </w:r>
    </w:p>
    <w:p w14:paraId="40606EB9" w14:textId="77777777" w:rsidR="00EF465F" w:rsidRPr="00A272E4" w:rsidRDefault="00EF465F" w:rsidP="004776B7">
      <w:pPr>
        <w:adjustRightInd w:val="0"/>
        <w:snapToGrid w:val="0"/>
        <w:spacing w:line="548" w:lineRule="exact"/>
        <w:ind w:firstLineChars="200" w:firstLine="640"/>
        <w:jc w:val="left"/>
        <w:rPr>
          <w:rFonts w:eastAsia="仿宋_GB2312"/>
          <w:szCs w:val="32"/>
        </w:rPr>
      </w:pPr>
      <w:r w:rsidRPr="00A272E4">
        <w:rPr>
          <w:rFonts w:eastAsia="仿宋_GB2312"/>
          <w:szCs w:val="32"/>
        </w:rPr>
        <w:t>（</w:t>
      </w:r>
      <w:r w:rsidRPr="00A272E4">
        <w:rPr>
          <w:rFonts w:eastAsia="仿宋_GB2312"/>
          <w:szCs w:val="32"/>
        </w:rPr>
        <w:t>1</w:t>
      </w:r>
      <w:r w:rsidRPr="00A272E4">
        <w:rPr>
          <w:rFonts w:eastAsia="仿宋_GB2312"/>
          <w:szCs w:val="32"/>
        </w:rPr>
        <w:t>）</w:t>
      </w:r>
      <w:r w:rsidRPr="00A272E4">
        <w:rPr>
          <w:rFonts w:eastAsia="仿宋_GB2312"/>
          <w:szCs w:val="32"/>
        </w:rPr>
        <w:t>30</w:t>
      </w:r>
      <w:r w:rsidRPr="00A272E4">
        <w:rPr>
          <w:rFonts w:eastAsia="仿宋_GB2312"/>
          <w:szCs w:val="32"/>
        </w:rPr>
        <w:t>天内靶病变失败复合终点，即出现心源性死亡、靶病变相关的心肌梗死及临床驱动的靶病变血运重建；</w:t>
      </w:r>
    </w:p>
    <w:p w14:paraId="4E847E41" w14:textId="77777777" w:rsidR="00EF465F" w:rsidRPr="00A272E4" w:rsidRDefault="00EF465F" w:rsidP="004776B7">
      <w:pPr>
        <w:adjustRightInd w:val="0"/>
        <w:snapToGrid w:val="0"/>
        <w:spacing w:line="548" w:lineRule="exact"/>
        <w:ind w:firstLineChars="200" w:firstLine="640"/>
        <w:jc w:val="left"/>
        <w:rPr>
          <w:rFonts w:eastAsia="仿宋_GB2312"/>
          <w:szCs w:val="32"/>
        </w:rPr>
      </w:pPr>
      <w:r w:rsidRPr="00A272E4">
        <w:rPr>
          <w:rFonts w:eastAsia="仿宋_GB2312"/>
          <w:szCs w:val="32"/>
        </w:rPr>
        <w:t>（</w:t>
      </w:r>
      <w:r w:rsidRPr="00A272E4">
        <w:rPr>
          <w:rFonts w:eastAsia="仿宋_GB2312"/>
          <w:szCs w:val="32"/>
        </w:rPr>
        <w:t>2</w:t>
      </w:r>
      <w:r w:rsidRPr="00A272E4">
        <w:rPr>
          <w:rFonts w:eastAsia="仿宋_GB2312"/>
          <w:szCs w:val="32"/>
        </w:rPr>
        <w:t>）术后</w:t>
      </w:r>
      <w:r w:rsidRPr="00A272E4">
        <w:rPr>
          <w:rFonts w:eastAsia="仿宋_GB2312"/>
          <w:szCs w:val="32"/>
        </w:rPr>
        <w:t>30</w:t>
      </w:r>
      <w:r w:rsidRPr="00A272E4">
        <w:rPr>
          <w:rFonts w:eastAsia="仿宋_GB2312"/>
          <w:szCs w:val="32"/>
        </w:rPr>
        <w:t>天内患者相关的心血管临床复合终点，包括全因死亡、所有心肌梗死以及任何再次血运重建；</w:t>
      </w:r>
    </w:p>
    <w:p w14:paraId="4BEC75A7" w14:textId="77777777" w:rsidR="00EF465F" w:rsidRPr="00A272E4" w:rsidRDefault="00EF465F" w:rsidP="004776B7">
      <w:pPr>
        <w:adjustRightInd w:val="0"/>
        <w:snapToGrid w:val="0"/>
        <w:spacing w:line="548" w:lineRule="exact"/>
        <w:ind w:firstLineChars="200" w:firstLine="640"/>
        <w:jc w:val="left"/>
        <w:rPr>
          <w:rFonts w:eastAsia="仿宋_GB2312"/>
          <w:szCs w:val="32"/>
        </w:rPr>
      </w:pPr>
      <w:r w:rsidRPr="00A272E4">
        <w:rPr>
          <w:rFonts w:eastAsia="仿宋_GB2312"/>
          <w:szCs w:val="32"/>
        </w:rPr>
        <w:t>（</w:t>
      </w:r>
      <w:r w:rsidRPr="00A272E4">
        <w:rPr>
          <w:rFonts w:eastAsia="仿宋_GB2312"/>
          <w:szCs w:val="32"/>
        </w:rPr>
        <w:t>3</w:t>
      </w:r>
      <w:r w:rsidRPr="00A272E4">
        <w:rPr>
          <w:rFonts w:eastAsia="仿宋_GB2312"/>
          <w:szCs w:val="32"/>
        </w:rPr>
        <w:t>）</w:t>
      </w:r>
      <w:bookmarkStart w:id="5" w:name="OLE_LINK5"/>
      <w:bookmarkStart w:id="6" w:name="OLE_LINK6"/>
      <w:r w:rsidRPr="00A272E4">
        <w:rPr>
          <w:rFonts w:eastAsia="仿宋_GB2312"/>
          <w:szCs w:val="32"/>
        </w:rPr>
        <w:t>术后</w:t>
      </w:r>
      <w:r w:rsidRPr="00A272E4">
        <w:rPr>
          <w:rFonts w:eastAsia="仿宋_GB2312"/>
          <w:szCs w:val="32"/>
        </w:rPr>
        <w:t>30</w:t>
      </w:r>
      <w:r w:rsidRPr="00A272E4">
        <w:rPr>
          <w:rFonts w:eastAsia="仿宋_GB2312"/>
          <w:szCs w:val="32"/>
        </w:rPr>
        <w:t>天内</w:t>
      </w:r>
      <w:bookmarkEnd w:id="5"/>
      <w:bookmarkEnd w:id="6"/>
      <w:r w:rsidRPr="00A272E4">
        <w:rPr>
          <w:rFonts w:eastAsia="仿宋_GB2312"/>
          <w:szCs w:val="32"/>
        </w:rPr>
        <w:t>器械相关并发症，包括穿刺血肿、血管扩张后夹层、穿孔、急性闭塞等；</w:t>
      </w:r>
      <w:r w:rsidRPr="00A272E4">
        <w:rPr>
          <w:rFonts w:eastAsia="仿宋_GB2312"/>
          <w:szCs w:val="32"/>
        </w:rPr>
        <w:t xml:space="preserve"> </w:t>
      </w:r>
    </w:p>
    <w:p w14:paraId="496A730A" w14:textId="77777777" w:rsidR="00EF465F" w:rsidRPr="00A272E4" w:rsidRDefault="00EF465F" w:rsidP="004776B7">
      <w:pPr>
        <w:adjustRightInd w:val="0"/>
        <w:snapToGrid w:val="0"/>
        <w:spacing w:line="548" w:lineRule="exact"/>
        <w:ind w:firstLineChars="200" w:firstLine="640"/>
        <w:jc w:val="left"/>
        <w:rPr>
          <w:rFonts w:eastAsia="仿宋_GB2312"/>
          <w:color w:val="FF0000"/>
          <w:szCs w:val="32"/>
        </w:rPr>
      </w:pPr>
      <w:r w:rsidRPr="00A272E4">
        <w:rPr>
          <w:rFonts w:eastAsia="仿宋_GB2312"/>
          <w:szCs w:val="32"/>
        </w:rPr>
        <w:t>（</w:t>
      </w:r>
      <w:r w:rsidRPr="00A272E4">
        <w:rPr>
          <w:rFonts w:eastAsia="仿宋_GB2312"/>
          <w:szCs w:val="32"/>
        </w:rPr>
        <w:t>4</w:t>
      </w:r>
      <w:r w:rsidRPr="00A272E4">
        <w:rPr>
          <w:rFonts w:eastAsia="仿宋_GB2312"/>
          <w:szCs w:val="32"/>
        </w:rPr>
        <w:t>）预处理后病变准备成功率（术后即刻），即预</w:t>
      </w:r>
      <w:proofErr w:type="gramStart"/>
      <w:r w:rsidRPr="00A272E4">
        <w:rPr>
          <w:rFonts w:eastAsia="仿宋_GB2312"/>
          <w:szCs w:val="32"/>
        </w:rPr>
        <w:t>扩张后靶病变</w:t>
      </w:r>
      <w:proofErr w:type="gramEnd"/>
      <w:r w:rsidRPr="00A272E4">
        <w:rPr>
          <w:rFonts w:eastAsia="仿宋_GB2312"/>
          <w:szCs w:val="32"/>
        </w:rPr>
        <w:t>的管腔残余狭窄</w:t>
      </w:r>
      <w:r w:rsidRPr="00A272E4">
        <w:rPr>
          <w:rFonts w:eastAsia="仿宋_GB2312"/>
          <w:szCs w:val="32"/>
        </w:rPr>
        <w:t>≤30%</w:t>
      </w:r>
      <w:r w:rsidRPr="00A272E4">
        <w:rPr>
          <w:rFonts w:eastAsia="仿宋_GB2312"/>
          <w:szCs w:val="32"/>
        </w:rPr>
        <w:t>，心肌梗死溶栓治疗试验（</w:t>
      </w:r>
      <w:r w:rsidRPr="00A272E4">
        <w:rPr>
          <w:rFonts w:eastAsia="仿宋_GB2312"/>
          <w:szCs w:val="32"/>
        </w:rPr>
        <w:t>Thrombolysis In Myocardial Infarction</w:t>
      </w:r>
      <w:r w:rsidRPr="00A272E4">
        <w:rPr>
          <w:rFonts w:eastAsia="仿宋_GB2312"/>
          <w:szCs w:val="32"/>
        </w:rPr>
        <w:t>，</w:t>
      </w:r>
      <w:r w:rsidRPr="00A272E4">
        <w:rPr>
          <w:rFonts w:eastAsia="仿宋_GB2312"/>
          <w:szCs w:val="32"/>
        </w:rPr>
        <w:t>TIMI</w:t>
      </w:r>
      <w:r w:rsidRPr="00A272E4">
        <w:rPr>
          <w:rFonts w:eastAsia="仿宋_GB2312"/>
          <w:szCs w:val="32"/>
        </w:rPr>
        <w:t>）血流</w:t>
      </w:r>
      <w:r w:rsidRPr="00A272E4">
        <w:rPr>
          <w:rFonts w:eastAsia="仿宋_GB2312"/>
          <w:szCs w:val="32"/>
        </w:rPr>
        <w:t>III</w:t>
      </w:r>
      <w:r w:rsidRPr="00A272E4">
        <w:rPr>
          <w:rFonts w:eastAsia="仿宋_GB2312"/>
          <w:szCs w:val="32"/>
        </w:rPr>
        <w:t>级，无血管</w:t>
      </w:r>
      <w:r w:rsidRPr="00A272E4">
        <w:rPr>
          <w:rFonts w:eastAsia="仿宋_GB2312"/>
          <w:szCs w:val="32"/>
        </w:rPr>
        <w:t>C</w:t>
      </w:r>
      <w:r w:rsidRPr="00A272E4">
        <w:rPr>
          <w:rFonts w:eastAsia="仿宋_GB2312"/>
          <w:szCs w:val="32"/>
        </w:rPr>
        <w:t>型以上夹层；</w:t>
      </w:r>
      <w:r w:rsidRPr="00A272E4">
        <w:rPr>
          <w:rFonts w:eastAsia="仿宋_GB2312"/>
          <w:color w:val="FF0000"/>
          <w:szCs w:val="32"/>
        </w:rPr>
        <w:t xml:space="preserve"> </w:t>
      </w:r>
    </w:p>
    <w:p w14:paraId="13CC2BA4" w14:textId="77777777" w:rsidR="00EF465F" w:rsidRPr="00A272E4" w:rsidRDefault="00EF465F" w:rsidP="004776B7">
      <w:pPr>
        <w:adjustRightInd w:val="0"/>
        <w:snapToGrid w:val="0"/>
        <w:spacing w:line="548" w:lineRule="exact"/>
        <w:ind w:firstLineChars="200" w:firstLine="640"/>
        <w:jc w:val="left"/>
        <w:rPr>
          <w:rFonts w:eastAsia="仿宋_GB2312"/>
          <w:szCs w:val="32"/>
        </w:rPr>
      </w:pPr>
      <w:r w:rsidRPr="00A272E4">
        <w:rPr>
          <w:rFonts w:eastAsia="仿宋_GB2312"/>
          <w:szCs w:val="32"/>
        </w:rPr>
        <w:t>（</w:t>
      </w:r>
      <w:r w:rsidRPr="00A272E4">
        <w:rPr>
          <w:rFonts w:eastAsia="仿宋_GB2312"/>
          <w:szCs w:val="32"/>
        </w:rPr>
        <w:t>5</w:t>
      </w:r>
      <w:r w:rsidRPr="00A272E4">
        <w:rPr>
          <w:rFonts w:eastAsia="仿宋_GB2312"/>
          <w:szCs w:val="32"/>
        </w:rPr>
        <w:t>）术后</w:t>
      </w:r>
      <w:r w:rsidRPr="00A272E4">
        <w:rPr>
          <w:rFonts w:eastAsia="仿宋_GB2312"/>
          <w:szCs w:val="32"/>
        </w:rPr>
        <w:t>30</w:t>
      </w:r>
      <w:r w:rsidRPr="00A272E4">
        <w:rPr>
          <w:rFonts w:eastAsia="仿宋_GB2312"/>
          <w:szCs w:val="32"/>
        </w:rPr>
        <w:t>天内夹层发生率和夹层类（</w:t>
      </w:r>
      <w:r w:rsidRPr="00A272E4">
        <w:rPr>
          <w:rFonts w:eastAsia="仿宋_GB2312"/>
          <w:szCs w:val="32"/>
        </w:rPr>
        <w:t>NHLBI</w:t>
      </w:r>
      <w:r w:rsidRPr="00A272E4">
        <w:rPr>
          <w:rFonts w:eastAsia="仿宋_GB2312"/>
          <w:szCs w:val="32"/>
        </w:rPr>
        <w:t>分级，</w:t>
      </w:r>
      <w:r w:rsidRPr="00A272E4">
        <w:rPr>
          <w:rFonts w:eastAsia="仿宋_GB2312"/>
          <w:szCs w:val="32"/>
        </w:rPr>
        <w:t>A~F</w:t>
      </w:r>
      <w:r w:rsidRPr="00A272E4">
        <w:rPr>
          <w:rFonts w:eastAsia="仿宋_GB2312"/>
          <w:szCs w:val="32"/>
        </w:rPr>
        <w:t>）；</w:t>
      </w:r>
    </w:p>
    <w:p w14:paraId="1AB2E05D" w14:textId="77777777" w:rsidR="00EF465F" w:rsidRPr="00A272E4" w:rsidRDefault="00EF465F" w:rsidP="004776B7">
      <w:pPr>
        <w:adjustRightInd w:val="0"/>
        <w:snapToGrid w:val="0"/>
        <w:spacing w:line="548" w:lineRule="exact"/>
        <w:ind w:firstLineChars="200" w:firstLine="640"/>
        <w:jc w:val="left"/>
        <w:rPr>
          <w:rFonts w:eastAsia="仿宋_GB2312"/>
          <w:szCs w:val="32"/>
        </w:rPr>
      </w:pPr>
      <w:r w:rsidRPr="00A272E4">
        <w:rPr>
          <w:rFonts w:eastAsia="仿宋_GB2312"/>
          <w:szCs w:val="32"/>
        </w:rPr>
        <w:t>（</w:t>
      </w:r>
      <w:r w:rsidRPr="00A272E4">
        <w:rPr>
          <w:rFonts w:eastAsia="仿宋_GB2312"/>
          <w:szCs w:val="32"/>
        </w:rPr>
        <w:t>6</w:t>
      </w:r>
      <w:r w:rsidRPr="00A272E4">
        <w:rPr>
          <w:rFonts w:eastAsia="仿宋_GB2312"/>
          <w:szCs w:val="32"/>
        </w:rPr>
        <w:t>）术后</w:t>
      </w:r>
      <w:r w:rsidRPr="00A272E4">
        <w:rPr>
          <w:rFonts w:eastAsia="仿宋_GB2312"/>
          <w:szCs w:val="32"/>
        </w:rPr>
        <w:t>30</w:t>
      </w:r>
      <w:r w:rsidRPr="00A272E4">
        <w:rPr>
          <w:rFonts w:eastAsia="仿宋_GB2312"/>
          <w:szCs w:val="32"/>
        </w:rPr>
        <w:t>天内穿孔发生率和严重程度；</w:t>
      </w:r>
    </w:p>
    <w:p w14:paraId="5B560296" w14:textId="77777777" w:rsidR="00EF465F" w:rsidRPr="00A272E4" w:rsidRDefault="00EF465F" w:rsidP="004776B7">
      <w:pPr>
        <w:adjustRightInd w:val="0"/>
        <w:snapToGrid w:val="0"/>
        <w:spacing w:line="548" w:lineRule="exact"/>
        <w:ind w:firstLineChars="200" w:firstLine="640"/>
        <w:jc w:val="left"/>
        <w:rPr>
          <w:rFonts w:eastAsia="仿宋_GB2312"/>
          <w:szCs w:val="32"/>
        </w:rPr>
      </w:pPr>
      <w:r w:rsidRPr="00A272E4">
        <w:rPr>
          <w:rFonts w:eastAsia="仿宋_GB2312"/>
          <w:szCs w:val="32"/>
        </w:rPr>
        <w:lastRenderedPageBreak/>
        <w:t>（</w:t>
      </w:r>
      <w:r w:rsidRPr="00A272E4">
        <w:rPr>
          <w:rFonts w:eastAsia="仿宋_GB2312"/>
          <w:szCs w:val="32"/>
        </w:rPr>
        <w:t>7</w:t>
      </w:r>
      <w:r w:rsidRPr="00A272E4">
        <w:rPr>
          <w:rFonts w:eastAsia="仿宋_GB2312"/>
          <w:szCs w:val="32"/>
        </w:rPr>
        <w:t>）介入手术（包括辅助支架植入等）术后靶病变残余狭窄</w:t>
      </w:r>
      <w:r w:rsidRPr="00A272E4">
        <w:rPr>
          <w:rFonts w:eastAsia="仿宋_GB2312"/>
          <w:szCs w:val="32"/>
        </w:rPr>
        <w:t>&lt;50%</w:t>
      </w:r>
      <w:r w:rsidRPr="00A272E4">
        <w:rPr>
          <w:rFonts w:eastAsia="仿宋_GB2312"/>
          <w:szCs w:val="32"/>
        </w:rPr>
        <w:t>的比率；</w:t>
      </w:r>
    </w:p>
    <w:p w14:paraId="0DAE142E" w14:textId="77777777" w:rsidR="00EF465F" w:rsidRPr="00A272E4" w:rsidRDefault="00EF465F" w:rsidP="004776B7">
      <w:pPr>
        <w:adjustRightInd w:val="0"/>
        <w:snapToGrid w:val="0"/>
        <w:spacing w:line="548" w:lineRule="exact"/>
        <w:ind w:firstLineChars="200" w:firstLine="640"/>
        <w:jc w:val="left"/>
        <w:rPr>
          <w:rFonts w:eastAsia="仿宋_GB2312"/>
          <w:szCs w:val="32"/>
        </w:rPr>
      </w:pPr>
      <w:r w:rsidRPr="00A272E4">
        <w:rPr>
          <w:rFonts w:eastAsia="仿宋_GB2312"/>
          <w:szCs w:val="32"/>
        </w:rPr>
        <w:t>（</w:t>
      </w:r>
      <w:r w:rsidRPr="00A272E4">
        <w:rPr>
          <w:rFonts w:eastAsia="仿宋_GB2312"/>
          <w:szCs w:val="32"/>
        </w:rPr>
        <w:t>8</w:t>
      </w:r>
      <w:r w:rsidRPr="00A272E4">
        <w:rPr>
          <w:rFonts w:eastAsia="仿宋_GB2312"/>
          <w:szCs w:val="32"/>
        </w:rPr>
        <w:t>）即刻管腔获得（</w:t>
      </w:r>
      <w:r w:rsidRPr="00A272E4">
        <w:rPr>
          <w:rFonts w:eastAsia="仿宋_GB2312"/>
          <w:szCs w:val="32"/>
        </w:rPr>
        <w:t>QCA</w:t>
      </w:r>
      <w:r w:rsidRPr="00A272E4">
        <w:rPr>
          <w:rFonts w:eastAsia="仿宋_GB2312"/>
          <w:szCs w:val="32"/>
        </w:rPr>
        <w:t>方法测得的扩张前后靶病变最小管</w:t>
      </w:r>
      <w:proofErr w:type="gramStart"/>
      <w:r w:rsidRPr="00A272E4">
        <w:rPr>
          <w:rFonts w:eastAsia="仿宋_GB2312"/>
          <w:szCs w:val="32"/>
        </w:rPr>
        <w:t>腔</w:t>
      </w:r>
      <w:proofErr w:type="gramEnd"/>
      <w:r w:rsidRPr="00A272E4">
        <w:rPr>
          <w:rFonts w:eastAsia="仿宋_GB2312"/>
          <w:szCs w:val="32"/>
        </w:rPr>
        <w:t>直径差值）；</w:t>
      </w:r>
    </w:p>
    <w:p w14:paraId="6A48DA76" w14:textId="77777777" w:rsidR="00EF465F" w:rsidRPr="00A272E4" w:rsidRDefault="00EF465F" w:rsidP="004776B7">
      <w:pPr>
        <w:adjustRightInd w:val="0"/>
        <w:snapToGrid w:val="0"/>
        <w:spacing w:line="548" w:lineRule="exact"/>
        <w:ind w:firstLineChars="200" w:firstLine="640"/>
        <w:jc w:val="left"/>
        <w:rPr>
          <w:rFonts w:eastAsia="仿宋_GB2312"/>
          <w:szCs w:val="32"/>
        </w:rPr>
      </w:pPr>
      <w:r w:rsidRPr="00A272E4">
        <w:rPr>
          <w:rFonts w:eastAsia="仿宋_GB2312"/>
          <w:szCs w:val="32"/>
        </w:rPr>
        <w:t>（</w:t>
      </w:r>
      <w:r w:rsidRPr="00A272E4">
        <w:rPr>
          <w:rFonts w:eastAsia="仿宋_GB2312"/>
          <w:szCs w:val="32"/>
        </w:rPr>
        <w:t>9</w:t>
      </w:r>
      <w:r w:rsidRPr="00A272E4">
        <w:rPr>
          <w:rFonts w:eastAsia="仿宋_GB2312"/>
          <w:szCs w:val="32"/>
        </w:rPr>
        <w:t>）术后</w:t>
      </w:r>
      <w:r w:rsidRPr="00A272E4">
        <w:rPr>
          <w:rFonts w:eastAsia="仿宋_GB2312"/>
          <w:szCs w:val="32"/>
        </w:rPr>
        <w:t>30</w:t>
      </w:r>
      <w:r w:rsidRPr="00A272E4">
        <w:rPr>
          <w:rFonts w:eastAsia="仿宋_GB2312"/>
          <w:szCs w:val="32"/>
        </w:rPr>
        <w:t>天内器械失效及故障；</w:t>
      </w:r>
    </w:p>
    <w:p w14:paraId="07F1D216" w14:textId="77777777" w:rsidR="00EF465F" w:rsidRPr="00A272E4" w:rsidRDefault="00EF465F" w:rsidP="004776B7">
      <w:pPr>
        <w:adjustRightInd w:val="0"/>
        <w:snapToGrid w:val="0"/>
        <w:spacing w:line="548" w:lineRule="exact"/>
        <w:ind w:firstLineChars="200" w:firstLine="640"/>
        <w:jc w:val="left"/>
        <w:rPr>
          <w:rFonts w:eastAsia="仿宋_GB2312"/>
          <w:szCs w:val="32"/>
        </w:rPr>
      </w:pPr>
      <w:r w:rsidRPr="00A272E4">
        <w:rPr>
          <w:rFonts w:eastAsia="仿宋_GB2312"/>
          <w:szCs w:val="32"/>
        </w:rPr>
        <w:t>（</w:t>
      </w:r>
      <w:r w:rsidRPr="00A272E4">
        <w:rPr>
          <w:rFonts w:eastAsia="仿宋_GB2312"/>
          <w:szCs w:val="32"/>
        </w:rPr>
        <w:t>10</w:t>
      </w:r>
      <w:r w:rsidRPr="00A272E4">
        <w:rPr>
          <w:rFonts w:eastAsia="仿宋_GB2312"/>
          <w:szCs w:val="32"/>
        </w:rPr>
        <w:t>）器械操作使用性能评价；</w:t>
      </w:r>
    </w:p>
    <w:p w14:paraId="63155B13" w14:textId="77777777" w:rsidR="00EF465F" w:rsidRPr="00A272E4" w:rsidRDefault="00EF465F" w:rsidP="004776B7">
      <w:pPr>
        <w:adjustRightInd w:val="0"/>
        <w:snapToGrid w:val="0"/>
        <w:spacing w:line="548" w:lineRule="exact"/>
        <w:ind w:firstLineChars="200" w:firstLine="640"/>
        <w:jc w:val="left"/>
        <w:rPr>
          <w:rFonts w:eastAsia="仿宋_GB2312"/>
          <w:szCs w:val="32"/>
        </w:rPr>
      </w:pPr>
      <w:r w:rsidRPr="00A272E4">
        <w:rPr>
          <w:rFonts w:eastAsia="仿宋_GB2312"/>
          <w:szCs w:val="32"/>
        </w:rPr>
        <w:t>（</w:t>
      </w:r>
      <w:r w:rsidRPr="00A272E4">
        <w:rPr>
          <w:rFonts w:eastAsia="仿宋_GB2312"/>
          <w:szCs w:val="32"/>
        </w:rPr>
        <w:t>11</w:t>
      </w:r>
      <w:r w:rsidRPr="00A272E4">
        <w:rPr>
          <w:rFonts w:eastAsia="仿宋_GB2312"/>
          <w:szCs w:val="32"/>
        </w:rPr>
        <w:t>）术后</w:t>
      </w:r>
      <w:r w:rsidRPr="00A272E4">
        <w:rPr>
          <w:rFonts w:eastAsia="仿宋_GB2312"/>
          <w:szCs w:val="32"/>
        </w:rPr>
        <w:t>30</w:t>
      </w:r>
      <w:r w:rsidRPr="00A272E4">
        <w:rPr>
          <w:rFonts w:eastAsia="仿宋_GB2312"/>
          <w:szCs w:val="32"/>
        </w:rPr>
        <w:t>天内不良事件发生情况。</w:t>
      </w:r>
    </w:p>
    <w:p w14:paraId="4553D3E0"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3.</w:t>
      </w:r>
      <w:r w:rsidRPr="00A272E4">
        <w:rPr>
          <w:rFonts w:eastAsia="仿宋_GB2312"/>
          <w:szCs w:val="32"/>
        </w:rPr>
        <w:t>随访时间</w:t>
      </w:r>
    </w:p>
    <w:p w14:paraId="3BF40866" w14:textId="77777777" w:rsidR="00EF465F" w:rsidRPr="00A272E4" w:rsidRDefault="00EF465F" w:rsidP="004776B7">
      <w:pPr>
        <w:adjustRightInd w:val="0"/>
        <w:snapToGrid w:val="0"/>
        <w:spacing w:line="548" w:lineRule="exact"/>
        <w:ind w:firstLineChars="200" w:firstLine="640"/>
        <w:jc w:val="left"/>
        <w:rPr>
          <w:rFonts w:eastAsia="仿宋_GB2312"/>
          <w:szCs w:val="32"/>
        </w:rPr>
      </w:pPr>
      <w:r w:rsidRPr="00A272E4">
        <w:rPr>
          <w:rFonts w:eastAsia="仿宋_GB2312"/>
          <w:szCs w:val="32"/>
        </w:rPr>
        <w:t>随访时间一般至少需达到术后</w:t>
      </w:r>
      <w:r w:rsidRPr="00A272E4">
        <w:rPr>
          <w:rFonts w:eastAsia="仿宋_GB2312"/>
          <w:szCs w:val="32"/>
        </w:rPr>
        <w:t>30</w:t>
      </w:r>
      <w:r w:rsidRPr="00A272E4">
        <w:rPr>
          <w:rFonts w:eastAsia="仿宋_GB2312"/>
          <w:szCs w:val="32"/>
        </w:rPr>
        <w:t>天。</w:t>
      </w:r>
    </w:p>
    <w:p w14:paraId="1BF30A99" w14:textId="77777777" w:rsidR="00EF465F" w:rsidRPr="00A272E4" w:rsidRDefault="00EF465F" w:rsidP="004776B7">
      <w:pPr>
        <w:keepNext/>
        <w:keepLines/>
        <w:adjustRightInd w:val="0"/>
        <w:snapToGrid w:val="0"/>
        <w:spacing w:line="548" w:lineRule="exact"/>
        <w:ind w:firstLineChars="200" w:firstLine="640"/>
        <w:outlineLvl w:val="2"/>
        <w:rPr>
          <w:rFonts w:eastAsia="楷体"/>
          <w:bCs/>
          <w:szCs w:val="32"/>
        </w:rPr>
      </w:pPr>
      <w:r w:rsidRPr="00A272E4">
        <w:rPr>
          <w:rFonts w:eastAsia="楷体"/>
          <w:bCs/>
          <w:szCs w:val="32"/>
        </w:rPr>
        <w:t>（五）样本量估算与统计分析举例</w:t>
      </w:r>
    </w:p>
    <w:p w14:paraId="55EA4561"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样本量估算需综合考虑临床试验设计、主要评价指标和统计学要求。申请人需明确计算公式、相应参数及确定理由以及所用的统计软件。</w:t>
      </w:r>
    </w:p>
    <w:p w14:paraId="1774841D"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采用单组设计时，目标值及</w:t>
      </w:r>
      <w:proofErr w:type="gramStart"/>
      <w:r w:rsidRPr="00A272E4">
        <w:rPr>
          <w:rFonts w:eastAsia="仿宋_GB2312"/>
          <w:szCs w:val="32"/>
        </w:rPr>
        <w:t>预期值需根据</w:t>
      </w:r>
      <w:proofErr w:type="gramEnd"/>
      <w:r w:rsidRPr="00A272E4">
        <w:rPr>
          <w:rFonts w:eastAsia="仿宋_GB2312"/>
          <w:szCs w:val="32"/>
        </w:rPr>
        <w:t>临床指南、专家共识以及临床文献的</w:t>
      </w:r>
      <w:r w:rsidRPr="00A272E4">
        <w:rPr>
          <w:rFonts w:eastAsia="仿宋_GB2312"/>
          <w:szCs w:val="32"/>
        </w:rPr>
        <w:t>Meta</w:t>
      </w:r>
      <w:r w:rsidRPr="00A272E4">
        <w:rPr>
          <w:rFonts w:eastAsia="仿宋_GB2312"/>
          <w:szCs w:val="32"/>
        </w:rPr>
        <w:t>分析合理确定。主要安全性评价指标若采用</w:t>
      </w:r>
      <w:r w:rsidRPr="00A272E4">
        <w:rPr>
          <w:rFonts w:eastAsia="仿宋_GB2312"/>
          <w:szCs w:val="32"/>
        </w:rPr>
        <w:t>“</w:t>
      </w:r>
      <w:r w:rsidRPr="00A272E4">
        <w:rPr>
          <w:rFonts w:eastAsia="仿宋_GB2312"/>
          <w:szCs w:val="32"/>
        </w:rPr>
        <w:t>术后</w:t>
      </w:r>
      <w:r w:rsidRPr="00A272E4">
        <w:rPr>
          <w:rFonts w:eastAsia="仿宋_GB2312"/>
          <w:szCs w:val="32"/>
        </w:rPr>
        <w:t>14</w:t>
      </w:r>
      <w:r w:rsidRPr="00A272E4">
        <w:rPr>
          <w:rFonts w:eastAsia="仿宋_GB2312"/>
          <w:szCs w:val="32"/>
        </w:rPr>
        <w:t>天内无</w:t>
      </w:r>
      <w:r w:rsidRPr="00A272E4">
        <w:rPr>
          <w:rFonts w:eastAsia="仿宋_GB2312"/>
          <w:szCs w:val="32"/>
        </w:rPr>
        <w:t>MACE</w:t>
      </w:r>
      <w:r w:rsidRPr="00A272E4">
        <w:rPr>
          <w:rFonts w:eastAsia="仿宋_GB2312"/>
          <w:szCs w:val="32"/>
        </w:rPr>
        <w:t>的比率</w:t>
      </w:r>
      <w:r w:rsidRPr="00A272E4">
        <w:rPr>
          <w:rFonts w:eastAsia="仿宋_GB2312"/>
          <w:szCs w:val="32"/>
        </w:rPr>
        <w:t>”</w:t>
      </w:r>
      <w:r w:rsidRPr="00A272E4">
        <w:rPr>
          <w:rFonts w:eastAsia="仿宋_GB2312"/>
          <w:szCs w:val="32"/>
        </w:rPr>
        <w:t>，主要有效性评价指标采用手术成功率（术后即刻残余狭窄率</w:t>
      </w:r>
      <w:r w:rsidRPr="00A272E4">
        <w:rPr>
          <w:rFonts w:eastAsia="仿宋_GB2312"/>
          <w:szCs w:val="32"/>
        </w:rPr>
        <w:t>≤50%</w:t>
      </w:r>
      <w:r w:rsidRPr="00A272E4">
        <w:rPr>
          <w:rFonts w:eastAsia="仿宋_GB2312"/>
          <w:szCs w:val="32"/>
        </w:rPr>
        <w:t>，</w:t>
      </w:r>
      <w:proofErr w:type="gramStart"/>
      <w:r w:rsidRPr="00A272E4">
        <w:rPr>
          <w:rFonts w:eastAsia="仿宋_GB2312"/>
          <w:szCs w:val="32"/>
        </w:rPr>
        <w:t>且围术期</w:t>
      </w:r>
      <w:proofErr w:type="gramEnd"/>
      <w:r w:rsidRPr="00A272E4">
        <w:rPr>
          <w:rFonts w:eastAsia="仿宋_GB2312"/>
          <w:szCs w:val="32"/>
        </w:rPr>
        <w:t>无死亡、</w:t>
      </w:r>
      <w:proofErr w:type="gramStart"/>
      <w:r w:rsidRPr="00A272E4">
        <w:rPr>
          <w:rFonts w:eastAsia="仿宋_GB2312"/>
          <w:szCs w:val="32"/>
        </w:rPr>
        <w:t>心肌梗死或靶病变</w:t>
      </w:r>
      <w:proofErr w:type="gramEnd"/>
      <w:r w:rsidRPr="00A272E4">
        <w:rPr>
          <w:rFonts w:eastAsia="仿宋_GB2312"/>
          <w:szCs w:val="32"/>
        </w:rPr>
        <w:t>血运重建）时，主要安全性指标目标值应不低于</w:t>
      </w:r>
      <w:r w:rsidRPr="00A272E4">
        <w:rPr>
          <w:rFonts w:eastAsia="仿宋_GB2312"/>
          <w:szCs w:val="32"/>
        </w:rPr>
        <w:t>90%</w:t>
      </w:r>
      <w:r w:rsidRPr="00A272E4">
        <w:rPr>
          <w:rFonts w:eastAsia="仿宋_GB2312"/>
          <w:szCs w:val="32"/>
        </w:rPr>
        <w:t>，主要有效性指标应不低于</w:t>
      </w:r>
      <w:r w:rsidRPr="00A272E4">
        <w:rPr>
          <w:rFonts w:eastAsia="仿宋_GB2312"/>
          <w:szCs w:val="32"/>
        </w:rPr>
        <w:t>85%</w:t>
      </w:r>
      <w:r w:rsidRPr="00A272E4">
        <w:rPr>
          <w:rFonts w:eastAsia="仿宋_GB2312"/>
          <w:szCs w:val="32"/>
        </w:rPr>
        <w:t>。一般情况下</w:t>
      </w:r>
      <w:r w:rsidRPr="00A272E4">
        <w:rPr>
          <w:rFonts w:eastAsia="仿宋_GB2312"/>
          <w:szCs w:val="32"/>
        </w:rPr>
        <w:t>α=0.05</w:t>
      </w:r>
      <w:r w:rsidRPr="00A272E4">
        <w:rPr>
          <w:rFonts w:eastAsia="仿宋_GB2312"/>
          <w:szCs w:val="32"/>
        </w:rPr>
        <w:t>，</w:t>
      </w:r>
      <w:r w:rsidRPr="00A272E4">
        <w:rPr>
          <w:rFonts w:eastAsia="仿宋_GB2312"/>
          <w:szCs w:val="32"/>
        </w:rPr>
        <w:t>β=0.2</w:t>
      </w:r>
      <w:r w:rsidRPr="00A272E4">
        <w:rPr>
          <w:rFonts w:eastAsia="仿宋_GB2312"/>
          <w:szCs w:val="32"/>
        </w:rPr>
        <w:t>。为保证临床试验样本与研究总体的匹配性，以及充分的统计学效能，建议临床试验样本量不低于</w:t>
      </w:r>
      <w:r w:rsidRPr="00A272E4">
        <w:rPr>
          <w:rFonts w:eastAsia="仿宋_GB2312"/>
          <w:szCs w:val="32"/>
        </w:rPr>
        <w:t>200</w:t>
      </w:r>
      <w:r w:rsidRPr="00A272E4">
        <w:rPr>
          <w:rFonts w:eastAsia="仿宋_GB2312"/>
          <w:szCs w:val="32"/>
        </w:rPr>
        <w:t>例。</w:t>
      </w:r>
    </w:p>
    <w:p w14:paraId="6BFD1942"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样本量计算公式如下：</w:t>
      </w:r>
    </w:p>
    <w:p w14:paraId="67BEF92D" w14:textId="46D7C2D8" w:rsidR="00EF465F" w:rsidRPr="00A272E4" w:rsidRDefault="00EF465F" w:rsidP="004776B7">
      <w:pPr>
        <w:adjustRightInd w:val="0"/>
        <w:snapToGrid w:val="0"/>
        <w:ind w:firstLine="561"/>
        <w:jc w:val="center"/>
        <w:outlineLvl w:val="2"/>
        <w:rPr>
          <w:rFonts w:eastAsia="等线"/>
          <w:sz w:val="21"/>
          <w:szCs w:val="22"/>
        </w:rPr>
      </w:pPr>
      <w:bookmarkStart w:id="7" w:name="_Toc497156173"/>
      <w:bookmarkStart w:id="8" w:name="_Toc21742"/>
      <w:bookmarkStart w:id="9" w:name="_Toc500960112"/>
      <m:oMathPara>
        <m:oMath>
          <m:r>
            <w:rPr>
              <w:rFonts w:ascii="Cambria Math" w:eastAsia="等线" w:hAnsi="Cambria Math"/>
              <w:sz w:val="28"/>
              <w:szCs w:val="22"/>
            </w:rPr>
            <w:lastRenderedPageBreak/>
            <m:t>n</m:t>
          </m:r>
          <m:r>
            <m:rPr>
              <m:sty m:val="p"/>
            </m:rPr>
            <w:rPr>
              <w:rFonts w:ascii="Cambria Math" w:eastAsia="等线" w:hAnsi="Cambria Math"/>
              <w:sz w:val="28"/>
              <w:szCs w:val="22"/>
            </w:rPr>
            <m:t>=</m:t>
          </m:r>
          <m:f>
            <m:fPr>
              <m:ctrlPr>
                <w:rPr>
                  <w:rFonts w:ascii="Cambria Math" w:eastAsia="等线" w:hAnsi="Cambria Math"/>
                  <w:sz w:val="28"/>
                  <w:szCs w:val="22"/>
                </w:rPr>
              </m:ctrlPr>
            </m:fPr>
            <m:num>
              <m:sSup>
                <m:sSupPr>
                  <m:ctrlPr>
                    <w:rPr>
                      <w:rFonts w:ascii="Cambria Math" w:eastAsia="等线" w:hAnsi="Cambria Math"/>
                      <w:i/>
                      <w:sz w:val="28"/>
                      <w:szCs w:val="22"/>
                    </w:rPr>
                  </m:ctrlPr>
                </m:sSupPr>
                <m:e>
                  <m:d>
                    <m:dPr>
                      <m:begChr m:val="["/>
                      <m:endChr m:val="]"/>
                      <m:ctrlPr>
                        <w:rPr>
                          <w:rFonts w:ascii="Cambria Math" w:eastAsia="等线" w:hAnsi="Cambria Math"/>
                          <w:i/>
                          <w:sz w:val="28"/>
                          <w:szCs w:val="22"/>
                        </w:rPr>
                      </m:ctrlPr>
                    </m:dPr>
                    <m:e>
                      <m:sSub>
                        <m:sSubPr>
                          <m:ctrlPr>
                            <w:rPr>
                              <w:rFonts w:ascii="Cambria Math" w:eastAsia="等线" w:hAnsi="Cambria Math"/>
                              <w:i/>
                              <w:sz w:val="28"/>
                              <w:szCs w:val="22"/>
                            </w:rPr>
                          </m:ctrlPr>
                        </m:sSubPr>
                        <m:e>
                          <m:r>
                            <w:rPr>
                              <w:rFonts w:ascii="Cambria Math" w:eastAsia="等线" w:hAnsi="Cambria Math"/>
                              <w:sz w:val="28"/>
                              <w:szCs w:val="22"/>
                            </w:rPr>
                            <m:t>Z</m:t>
                          </m:r>
                        </m:e>
                        <m:sub>
                          <m:r>
                            <w:rPr>
                              <w:rFonts w:ascii="Cambria Math" w:eastAsia="等线" w:hAnsi="Cambria Math"/>
                              <w:sz w:val="28"/>
                              <w:szCs w:val="22"/>
                            </w:rPr>
                            <m:t>1-α/2</m:t>
                          </m:r>
                        </m:sub>
                      </m:sSub>
                      <m:rad>
                        <m:radPr>
                          <m:degHide m:val="1"/>
                          <m:ctrlPr>
                            <w:rPr>
                              <w:rFonts w:ascii="Cambria Math" w:eastAsia="等线" w:hAnsi="Cambria Math"/>
                              <w:i/>
                              <w:sz w:val="28"/>
                              <w:szCs w:val="22"/>
                            </w:rPr>
                          </m:ctrlPr>
                        </m:radPr>
                        <m:deg/>
                        <m:e>
                          <m:sSub>
                            <m:sSubPr>
                              <m:ctrlPr>
                                <w:rPr>
                                  <w:rFonts w:ascii="Cambria Math" w:eastAsia="等线" w:hAnsi="Cambria Math"/>
                                  <w:i/>
                                  <w:sz w:val="28"/>
                                  <w:szCs w:val="22"/>
                                </w:rPr>
                              </m:ctrlPr>
                            </m:sSubPr>
                            <m:e>
                              <m:r>
                                <w:rPr>
                                  <w:rFonts w:ascii="Cambria Math" w:eastAsia="等线" w:hAnsi="Cambria Math"/>
                                  <w:sz w:val="28"/>
                                  <w:szCs w:val="22"/>
                                </w:rPr>
                                <m:t>P</m:t>
                              </m:r>
                            </m:e>
                            <m:sub>
                              <m:r>
                                <w:rPr>
                                  <w:rFonts w:ascii="Cambria Math" w:eastAsia="等线" w:hAnsi="Cambria Math"/>
                                  <w:sz w:val="28"/>
                                  <w:szCs w:val="22"/>
                                </w:rPr>
                                <m:t>0</m:t>
                              </m:r>
                            </m:sub>
                          </m:sSub>
                          <m:d>
                            <m:dPr>
                              <m:ctrlPr>
                                <w:rPr>
                                  <w:rFonts w:ascii="Cambria Math" w:eastAsia="等线" w:hAnsi="Cambria Math"/>
                                  <w:i/>
                                  <w:sz w:val="28"/>
                                  <w:szCs w:val="22"/>
                                </w:rPr>
                              </m:ctrlPr>
                            </m:dPr>
                            <m:e>
                              <m:r>
                                <w:rPr>
                                  <w:rFonts w:ascii="Cambria Math" w:eastAsia="等线" w:hAnsi="Cambria Math"/>
                                  <w:sz w:val="28"/>
                                  <w:szCs w:val="22"/>
                                </w:rPr>
                                <m:t>1-</m:t>
                              </m:r>
                              <m:sSub>
                                <m:sSubPr>
                                  <m:ctrlPr>
                                    <w:rPr>
                                      <w:rFonts w:ascii="Cambria Math" w:eastAsia="等线" w:hAnsi="Cambria Math"/>
                                      <w:i/>
                                      <w:sz w:val="28"/>
                                      <w:szCs w:val="22"/>
                                    </w:rPr>
                                  </m:ctrlPr>
                                </m:sSubPr>
                                <m:e>
                                  <m:r>
                                    <w:rPr>
                                      <w:rFonts w:ascii="Cambria Math" w:eastAsia="等线" w:hAnsi="Cambria Math"/>
                                      <w:sz w:val="28"/>
                                      <w:szCs w:val="22"/>
                                    </w:rPr>
                                    <m:t>P</m:t>
                                  </m:r>
                                </m:e>
                                <m:sub>
                                  <m:r>
                                    <w:rPr>
                                      <w:rFonts w:ascii="Cambria Math" w:eastAsia="等线" w:hAnsi="Cambria Math"/>
                                      <w:sz w:val="28"/>
                                      <w:szCs w:val="22"/>
                                    </w:rPr>
                                    <m:t>0</m:t>
                                  </m:r>
                                </m:sub>
                              </m:sSub>
                            </m:e>
                          </m:d>
                        </m:e>
                      </m:rad>
                      <m:r>
                        <w:rPr>
                          <w:rFonts w:ascii="Cambria Math" w:eastAsia="等线" w:hAnsi="Cambria Math"/>
                          <w:sz w:val="28"/>
                          <w:szCs w:val="22"/>
                        </w:rPr>
                        <m:t>+</m:t>
                      </m:r>
                      <m:sSub>
                        <m:sSubPr>
                          <m:ctrlPr>
                            <w:rPr>
                              <w:rFonts w:ascii="Cambria Math" w:eastAsia="等线" w:hAnsi="Cambria Math"/>
                              <w:i/>
                              <w:sz w:val="28"/>
                              <w:szCs w:val="22"/>
                            </w:rPr>
                          </m:ctrlPr>
                        </m:sSubPr>
                        <m:e>
                          <m:r>
                            <w:rPr>
                              <w:rFonts w:ascii="Cambria Math" w:eastAsia="等线" w:hAnsi="Cambria Math"/>
                              <w:sz w:val="28"/>
                              <w:szCs w:val="22"/>
                            </w:rPr>
                            <m:t>Z</m:t>
                          </m:r>
                        </m:e>
                        <m:sub>
                          <m:r>
                            <w:rPr>
                              <w:rFonts w:ascii="Cambria Math" w:eastAsia="等线" w:hAnsi="Cambria Math"/>
                              <w:sz w:val="28"/>
                              <w:szCs w:val="22"/>
                            </w:rPr>
                            <m:t>1-β</m:t>
                          </m:r>
                        </m:sub>
                      </m:sSub>
                      <m:rad>
                        <m:radPr>
                          <m:degHide m:val="1"/>
                          <m:ctrlPr>
                            <w:rPr>
                              <w:rFonts w:ascii="Cambria Math" w:eastAsia="等线" w:hAnsi="Cambria Math"/>
                              <w:i/>
                              <w:sz w:val="28"/>
                              <w:szCs w:val="22"/>
                            </w:rPr>
                          </m:ctrlPr>
                        </m:radPr>
                        <m:deg/>
                        <m:e>
                          <m:sSub>
                            <m:sSubPr>
                              <m:ctrlPr>
                                <w:rPr>
                                  <w:rFonts w:ascii="Cambria Math" w:eastAsia="等线" w:hAnsi="Cambria Math"/>
                                  <w:i/>
                                  <w:sz w:val="28"/>
                                  <w:szCs w:val="22"/>
                                </w:rPr>
                              </m:ctrlPr>
                            </m:sSubPr>
                            <m:e>
                              <m:r>
                                <w:rPr>
                                  <w:rFonts w:ascii="Cambria Math" w:eastAsia="等线" w:hAnsi="Cambria Math"/>
                                  <w:sz w:val="28"/>
                                  <w:szCs w:val="22"/>
                                </w:rPr>
                                <m:t>P</m:t>
                              </m:r>
                            </m:e>
                            <m:sub>
                              <m:r>
                                <w:rPr>
                                  <w:rFonts w:ascii="Cambria Math" w:eastAsia="等线" w:hAnsi="Cambria Math"/>
                                  <w:sz w:val="28"/>
                                  <w:szCs w:val="22"/>
                                </w:rPr>
                                <m:t>T</m:t>
                              </m:r>
                            </m:sub>
                          </m:sSub>
                          <m:d>
                            <m:dPr>
                              <m:ctrlPr>
                                <w:rPr>
                                  <w:rFonts w:ascii="Cambria Math" w:eastAsia="等线" w:hAnsi="Cambria Math"/>
                                  <w:i/>
                                  <w:sz w:val="28"/>
                                  <w:szCs w:val="22"/>
                                </w:rPr>
                              </m:ctrlPr>
                            </m:dPr>
                            <m:e>
                              <m:r>
                                <w:rPr>
                                  <w:rFonts w:ascii="Cambria Math" w:eastAsia="等线" w:hAnsi="Cambria Math"/>
                                  <w:sz w:val="28"/>
                                  <w:szCs w:val="22"/>
                                </w:rPr>
                                <m:t>1-</m:t>
                              </m:r>
                              <m:sSub>
                                <m:sSubPr>
                                  <m:ctrlPr>
                                    <w:rPr>
                                      <w:rFonts w:ascii="Cambria Math" w:eastAsia="等线" w:hAnsi="Cambria Math"/>
                                      <w:i/>
                                      <w:sz w:val="28"/>
                                      <w:szCs w:val="22"/>
                                    </w:rPr>
                                  </m:ctrlPr>
                                </m:sSubPr>
                                <m:e>
                                  <m:r>
                                    <w:rPr>
                                      <w:rFonts w:ascii="Cambria Math" w:eastAsia="等线" w:hAnsi="Cambria Math"/>
                                      <w:sz w:val="28"/>
                                      <w:szCs w:val="22"/>
                                    </w:rPr>
                                    <m:t>P</m:t>
                                  </m:r>
                                </m:e>
                                <m:sub>
                                  <m:r>
                                    <w:rPr>
                                      <w:rFonts w:ascii="Cambria Math" w:eastAsia="等线" w:hAnsi="Cambria Math"/>
                                      <w:sz w:val="28"/>
                                      <w:szCs w:val="22"/>
                                    </w:rPr>
                                    <m:t>T</m:t>
                                  </m:r>
                                </m:sub>
                              </m:sSub>
                            </m:e>
                          </m:d>
                        </m:e>
                      </m:rad>
                    </m:e>
                  </m:d>
                </m:e>
                <m:sup>
                  <m:r>
                    <w:rPr>
                      <w:rFonts w:ascii="Cambria Math" w:eastAsia="等线" w:hAnsi="Cambria Math"/>
                      <w:sz w:val="28"/>
                      <w:szCs w:val="22"/>
                    </w:rPr>
                    <m:t>2</m:t>
                  </m:r>
                </m:sup>
              </m:sSup>
            </m:num>
            <m:den>
              <m:sSup>
                <m:sSupPr>
                  <m:ctrlPr>
                    <w:rPr>
                      <w:rFonts w:ascii="Cambria Math" w:eastAsia="等线" w:hAnsi="Cambria Math"/>
                      <w:i/>
                      <w:sz w:val="28"/>
                      <w:szCs w:val="22"/>
                    </w:rPr>
                  </m:ctrlPr>
                </m:sSupPr>
                <m:e>
                  <m:d>
                    <m:dPr>
                      <m:ctrlPr>
                        <w:rPr>
                          <w:rFonts w:ascii="Cambria Math" w:eastAsia="等线" w:hAnsi="Cambria Math"/>
                          <w:i/>
                          <w:sz w:val="28"/>
                          <w:szCs w:val="22"/>
                        </w:rPr>
                      </m:ctrlPr>
                    </m:dPr>
                    <m:e>
                      <m:sSub>
                        <m:sSubPr>
                          <m:ctrlPr>
                            <w:rPr>
                              <w:rFonts w:ascii="Cambria Math" w:eastAsia="等线" w:hAnsi="Cambria Math"/>
                              <w:i/>
                              <w:sz w:val="28"/>
                              <w:szCs w:val="22"/>
                            </w:rPr>
                          </m:ctrlPr>
                        </m:sSubPr>
                        <m:e>
                          <m:r>
                            <w:rPr>
                              <w:rFonts w:ascii="Cambria Math" w:eastAsia="等线" w:hAnsi="Cambria Math"/>
                              <w:sz w:val="28"/>
                              <w:szCs w:val="22"/>
                            </w:rPr>
                            <m:t>P</m:t>
                          </m:r>
                        </m:e>
                        <m:sub>
                          <m:r>
                            <w:rPr>
                              <w:rFonts w:ascii="Cambria Math" w:eastAsia="等线" w:hAnsi="Cambria Math"/>
                              <w:sz w:val="28"/>
                              <w:szCs w:val="22"/>
                            </w:rPr>
                            <m:t>T</m:t>
                          </m:r>
                        </m:sub>
                      </m:sSub>
                      <m:r>
                        <w:rPr>
                          <w:rFonts w:ascii="Cambria Math" w:eastAsia="等线" w:hAnsi="Cambria Math"/>
                          <w:sz w:val="28"/>
                          <w:szCs w:val="22"/>
                        </w:rPr>
                        <m:t>-</m:t>
                      </m:r>
                      <m:sSub>
                        <m:sSubPr>
                          <m:ctrlPr>
                            <w:rPr>
                              <w:rFonts w:ascii="Cambria Math" w:eastAsia="等线" w:hAnsi="Cambria Math"/>
                              <w:i/>
                              <w:sz w:val="28"/>
                              <w:szCs w:val="22"/>
                            </w:rPr>
                          </m:ctrlPr>
                        </m:sSubPr>
                        <m:e>
                          <m:r>
                            <w:rPr>
                              <w:rFonts w:ascii="Cambria Math" w:eastAsia="等线" w:hAnsi="Cambria Math"/>
                              <w:sz w:val="28"/>
                              <w:szCs w:val="22"/>
                            </w:rPr>
                            <m:t>P</m:t>
                          </m:r>
                        </m:e>
                        <m:sub>
                          <m:r>
                            <w:rPr>
                              <w:rFonts w:ascii="Cambria Math" w:eastAsia="等线" w:hAnsi="Cambria Math"/>
                              <w:sz w:val="28"/>
                              <w:szCs w:val="22"/>
                            </w:rPr>
                            <m:t>0</m:t>
                          </m:r>
                        </m:sub>
                      </m:sSub>
                    </m:e>
                  </m:d>
                </m:e>
                <m:sup>
                  <m:r>
                    <w:rPr>
                      <w:rFonts w:ascii="Cambria Math" w:eastAsia="等线" w:hAnsi="Cambria Math"/>
                      <w:sz w:val="28"/>
                      <w:szCs w:val="22"/>
                    </w:rPr>
                    <m:t>2</m:t>
                  </m:r>
                </m:sup>
              </m:sSup>
            </m:den>
          </m:f>
        </m:oMath>
      </m:oMathPara>
      <w:bookmarkEnd w:id="7"/>
      <w:bookmarkEnd w:id="8"/>
      <w:bookmarkEnd w:id="9"/>
    </w:p>
    <w:p w14:paraId="246A2B76" w14:textId="77777777" w:rsidR="00EF465F" w:rsidRPr="00A272E4" w:rsidRDefault="00EF465F" w:rsidP="004776B7">
      <w:pPr>
        <w:adjustRightInd w:val="0"/>
        <w:snapToGrid w:val="0"/>
        <w:spacing w:line="548" w:lineRule="exact"/>
        <w:ind w:firstLine="561"/>
        <w:jc w:val="left"/>
        <w:outlineLvl w:val="2"/>
        <w:rPr>
          <w:rFonts w:eastAsia="仿宋_GB2312"/>
          <w:sz w:val="28"/>
          <w:szCs w:val="22"/>
        </w:rPr>
      </w:pPr>
    </w:p>
    <w:p w14:paraId="181207DD" w14:textId="77777777" w:rsidR="00EF465F" w:rsidRPr="00A272E4" w:rsidRDefault="00EF465F" w:rsidP="004776B7">
      <w:pPr>
        <w:adjustRightInd w:val="0"/>
        <w:snapToGrid w:val="0"/>
        <w:spacing w:line="548" w:lineRule="exact"/>
        <w:ind w:firstLine="640"/>
        <w:outlineLvl w:val="2"/>
        <w:rPr>
          <w:rFonts w:eastAsia="仿宋_GB2312"/>
          <w:kern w:val="0"/>
          <w:szCs w:val="32"/>
        </w:rPr>
      </w:pPr>
      <w:bookmarkStart w:id="10" w:name="_Toc497156174"/>
      <w:bookmarkStart w:id="11" w:name="_Toc495672357"/>
      <w:bookmarkStart w:id="12" w:name="_Toc495684409"/>
      <w:bookmarkStart w:id="13" w:name="_Toc8234"/>
      <w:bookmarkStart w:id="14" w:name="_Toc16587"/>
      <w:bookmarkStart w:id="15" w:name="_Toc16784"/>
      <w:bookmarkStart w:id="16" w:name="_Toc500960113"/>
      <w:r w:rsidRPr="00A272E4">
        <w:rPr>
          <w:rFonts w:eastAsia="仿宋_GB2312"/>
          <w:kern w:val="0"/>
          <w:szCs w:val="32"/>
        </w:rPr>
        <w:t>P</w:t>
      </w:r>
      <w:r w:rsidRPr="00A272E4">
        <w:rPr>
          <w:rFonts w:eastAsia="仿宋_GB2312"/>
          <w:kern w:val="0"/>
          <w:szCs w:val="32"/>
          <w:vertAlign w:val="subscript"/>
        </w:rPr>
        <w:t>T</w:t>
      </w:r>
      <w:r w:rsidRPr="00A272E4">
        <w:rPr>
          <w:rFonts w:eastAsia="仿宋_GB2312"/>
          <w:kern w:val="0"/>
          <w:szCs w:val="32"/>
        </w:rPr>
        <w:t>为试验组预期事件发生率，</w:t>
      </w:r>
      <w:r w:rsidRPr="00A272E4">
        <w:rPr>
          <w:rFonts w:eastAsia="仿宋_GB2312"/>
          <w:kern w:val="0"/>
          <w:szCs w:val="32"/>
        </w:rPr>
        <w:t>P</w:t>
      </w:r>
      <w:r w:rsidRPr="00A272E4">
        <w:rPr>
          <w:rFonts w:eastAsia="仿宋_GB2312"/>
          <w:kern w:val="0"/>
          <w:szCs w:val="32"/>
          <w:vertAlign w:val="subscript"/>
        </w:rPr>
        <w:t>0</w:t>
      </w:r>
      <w:r w:rsidRPr="00A272E4">
        <w:rPr>
          <w:rFonts w:eastAsia="仿宋_GB2312"/>
          <w:kern w:val="0"/>
          <w:szCs w:val="32"/>
        </w:rPr>
        <w:t>为目标值。</w:t>
      </w:r>
      <w:bookmarkEnd w:id="10"/>
      <w:bookmarkEnd w:id="11"/>
      <w:bookmarkEnd w:id="12"/>
      <w:bookmarkEnd w:id="13"/>
      <w:bookmarkEnd w:id="14"/>
      <w:bookmarkEnd w:id="15"/>
      <w:bookmarkEnd w:id="16"/>
    </w:p>
    <w:p w14:paraId="06C47365" w14:textId="77777777" w:rsidR="00EF465F" w:rsidRPr="00A272E4" w:rsidRDefault="00EF465F" w:rsidP="004776B7">
      <w:pPr>
        <w:keepNext/>
        <w:keepLines/>
        <w:adjustRightInd w:val="0"/>
        <w:snapToGrid w:val="0"/>
        <w:spacing w:line="548" w:lineRule="exact"/>
        <w:ind w:firstLineChars="200" w:firstLine="640"/>
        <w:outlineLvl w:val="0"/>
        <w:rPr>
          <w:rFonts w:eastAsia="黑体"/>
          <w:bCs/>
          <w:kern w:val="44"/>
          <w:szCs w:val="32"/>
        </w:rPr>
      </w:pPr>
      <w:r w:rsidRPr="00A272E4">
        <w:rPr>
          <w:rFonts w:eastAsia="黑体"/>
          <w:bCs/>
          <w:kern w:val="44"/>
          <w:szCs w:val="32"/>
        </w:rPr>
        <w:t>四、其他临床试验设计需关注的问题</w:t>
      </w:r>
    </w:p>
    <w:p w14:paraId="398B8F75"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由于修饰性球囊通过性较差，有时需要小一号直径的普通球囊先对病变进行预处理。若</w:t>
      </w:r>
      <w:proofErr w:type="gramStart"/>
      <w:r w:rsidRPr="00A272E4">
        <w:rPr>
          <w:rFonts w:eastAsia="仿宋_GB2312"/>
          <w:szCs w:val="32"/>
        </w:rPr>
        <w:t>病变仍</w:t>
      </w:r>
      <w:proofErr w:type="gramEnd"/>
      <w:r w:rsidRPr="00A272E4">
        <w:rPr>
          <w:rFonts w:eastAsia="仿宋_GB2312"/>
          <w:szCs w:val="32"/>
        </w:rPr>
        <w:t>难以通过，可考虑用更大直径的普通球囊预处理，或者应用延长导管辅助器械通过。因此，针对狭窄严重的病变，在临床试验使用申报产品之前允许使用其他球囊先行扩张，以保证申报产品的可通过性，但为排除其对临床试验结果的影响，需严格记录先行使用球囊的类型、直径、扩张压力以及处理后管腔残余狭窄的情况，原则上处理后的管腔残余狭窄不宜低于</w:t>
      </w:r>
      <w:r w:rsidRPr="00A272E4">
        <w:rPr>
          <w:rFonts w:eastAsia="仿宋_GB2312"/>
          <w:szCs w:val="32"/>
        </w:rPr>
        <w:t>50%</w:t>
      </w:r>
      <w:r w:rsidRPr="00A272E4">
        <w:rPr>
          <w:rFonts w:eastAsia="仿宋_GB2312"/>
          <w:szCs w:val="32"/>
        </w:rPr>
        <w:t>。</w:t>
      </w:r>
    </w:p>
    <w:p w14:paraId="3A0B43F6"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考虑到冠脉支架在临床应用中的使用情况，临床试验主要有效性评价指标手术成功率可设定为</w:t>
      </w:r>
      <w:r w:rsidRPr="00A272E4">
        <w:rPr>
          <w:rFonts w:eastAsia="仿宋_GB2312"/>
          <w:szCs w:val="32"/>
        </w:rPr>
        <w:t>“</w:t>
      </w:r>
      <w:r w:rsidRPr="00A272E4">
        <w:rPr>
          <w:rFonts w:eastAsia="仿宋_GB2312"/>
          <w:szCs w:val="32"/>
        </w:rPr>
        <w:t>术后即刻残余狭窄率</w:t>
      </w:r>
      <w:r w:rsidRPr="00A272E4">
        <w:rPr>
          <w:rFonts w:eastAsia="仿宋_GB2312"/>
          <w:szCs w:val="32"/>
        </w:rPr>
        <w:t>≤50%”</w:t>
      </w:r>
      <w:r w:rsidRPr="00A272E4">
        <w:rPr>
          <w:rFonts w:eastAsia="仿宋_GB2312"/>
          <w:szCs w:val="32"/>
        </w:rPr>
        <w:t>。而临床实践中，药物球囊的要求更高且面临的弹性回缩问题更为显著。一般在充分预扩张后，同时满足以下三种情况，可以使用药物涂层球囊治疗：血管</w:t>
      </w:r>
      <w:r w:rsidRPr="00A272E4">
        <w:rPr>
          <w:rFonts w:eastAsia="仿宋_GB2312"/>
          <w:szCs w:val="32"/>
        </w:rPr>
        <w:t>C</w:t>
      </w:r>
      <w:proofErr w:type="gramStart"/>
      <w:r w:rsidRPr="00A272E4">
        <w:rPr>
          <w:rFonts w:eastAsia="仿宋_GB2312"/>
          <w:szCs w:val="32"/>
        </w:rPr>
        <w:t>型以下</w:t>
      </w:r>
      <w:proofErr w:type="gramEnd"/>
      <w:r w:rsidRPr="00A272E4">
        <w:rPr>
          <w:rFonts w:eastAsia="仿宋_GB2312"/>
          <w:szCs w:val="32"/>
        </w:rPr>
        <w:t>夹层；</w:t>
      </w:r>
      <w:r w:rsidRPr="00A272E4">
        <w:rPr>
          <w:rFonts w:eastAsia="仿宋_GB2312"/>
          <w:szCs w:val="32"/>
        </w:rPr>
        <w:t>TIMI</w:t>
      </w:r>
      <w:r w:rsidRPr="00A272E4">
        <w:rPr>
          <w:rFonts w:eastAsia="仿宋_GB2312"/>
          <w:szCs w:val="32"/>
        </w:rPr>
        <w:t>血流分级</w:t>
      </w:r>
      <w:r w:rsidRPr="00A272E4">
        <w:rPr>
          <w:rFonts w:eastAsia="仿宋_GB2312"/>
          <w:szCs w:val="32"/>
        </w:rPr>
        <w:t>Ⅲ</w:t>
      </w:r>
      <w:r w:rsidRPr="00A272E4">
        <w:rPr>
          <w:rFonts w:eastAsia="仿宋_GB2312"/>
          <w:szCs w:val="32"/>
        </w:rPr>
        <w:t>级；残余狭窄</w:t>
      </w:r>
      <w:r w:rsidRPr="00A272E4">
        <w:rPr>
          <w:rFonts w:eastAsia="仿宋_GB2312"/>
          <w:szCs w:val="32"/>
        </w:rPr>
        <w:t>≤30%</w:t>
      </w:r>
      <w:r w:rsidRPr="00A272E4">
        <w:rPr>
          <w:rFonts w:eastAsia="仿宋_GB2312"/>
          <w:szCs w:val="32"/>
        </w:rPr>
        <w:t>。因此，需在临床试验次要评价指标中观察</w:t>
      </w:r>
      <w:r w:rsidRPr="00A272E4">
        <w:rPr>
          <w:rFonts w:eastAsia="仿宋_GB2312"/>
          <w:szCs w:val="32"/>
        </w:rPr>
        <w:t>“</w:t>
      </w:r>
      <w:r w:rsidRPr="00A272E4">
        <w:rPr>
          <w:rFonts w:eastAsia="仿宋_GB2312"/>
          <w:szCs w:val="32"/>
        </w:rPr>
        <w:t>预处理后病变准备成功率，即预扩张后靶病变的管腔残余狭窄</w:t>
      </w:r>
      <w:r w:rsidRPr="00A272E4">
        <w:rPr>
          <w:rFonts w:eastAsia="仿宋_GB2312"/>
          <w:szCs w:val="32"/>
        </w:rPr>
        <w:t>&lt;30%</w:t>
      </w:r>
      <w:r w:rsidRPr="00A272E4">
        <w:rPr>
          <w:rFonts w:eastAsia="仿宋_GB2312"/>
          <w:szCs w:val="32"/>
        </w:rPr>
        <w:t>；</w:t>
      </w:r>
      <w:r w:rsidRPr="00A272E4">
        <w:rPr>
          <w:rFonts w:eastAsia="仿宋_GB2312"/>
          <w:szCs w:val="32"/>
        </w:rPr>
        <w:t>TIMI</w:t>
      </w:r>
      <w:r w:rsidRPr="00A272E4">
        <w:rPr>
          <w:rFonts w:eastAsia="仿宋_GB2312"/>
          <w:szCs w:val="32"/>
        </w:rPr>
        <w:t>血流</w:t>
      </w:r>
      <w:r w:rsidRPr="00A272E4">
        <w:rPr>
          <w:rFonts w:eastAsia="仿宋_GB2312"/>
          <w:szCs w:val="32"/>
        </w:rPr>
        <w:t>III</w:t>
      </w:r>
      <w:r w:rsidRPr="00A272E4">
        <w:rPr>
          <w:rFonts w:eastAsia="仿宋_GB2312"/>
          <w:szCs w:val="32"/>
        </w:rPr>
        <w:t>级；无血管</w:t>
      </w:r>
      <w:r w:rsidRPr="00A272E4">
        <w:rPr>
          <w:rFonts w:eastAsia="仿宋_GB2312"/>
          <w:szCs w:val="32"/>
        </w:rPr>
        <w:t>C</w:t>
      </w:r>
      <w:r w:rsidRPr="00A272E4">
        <w:rPr>
          <w:rFonts w:eastAsia="仿宋_GB2312"/>
          <w:szCs w:val="32"/>
        </w:rPr>
        <w:t>型以上夹层</w:t>
      </w:r>
      <w:r w:rsidRPr="00A272E4">
        <w:rPr>
          <w:rFonts w:eastAsia="仿宋_GB2312"/>
          <w:szCs w:val="32"/>
        </w:rPr>
        <w:t>”</w:t>
      </w:r>
      <w:r w:rsidRPr="00A272E4">
        <w:rPr>
          <w:rFonts w:eastAsia="仿宋_GB2312"/>
          <w:szCs w:val="32"/>
        </w:rPr>
        <w:t>，并在说明书临床试验概要中明确该项指标的临床试验结果，供临床医师参考。</w:t>
      </w:r>
    </w:p>
    <w:p w14:paraId="5D3B00A5" w14:textId="38FDA7C3"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lastRenderedPageBreak/>
        <w:t>刻痕、棘突球囊产品的适用范围描述一般为</w:t>
      </w:r>
      <w:r w:rsidRPr="00A272E4">
        <w:rPr>
          <w:rFonts w:eastAsia="仿宋_GB2312"/>
          <w:szCs w:val="32"/>
        </w:rPr>
        <w:t>“</w:t>
      </w:r>
      <w:r w:rsidRPr="00A272E4">
        <w:rPr>
          <w:rFonts w:eastAsia="仿宋_GB2312"/>
          <w:szCs w:val="32"/>
        </w:rPr>
        <w:t>该产品用于成人患者经皮冠状动脉介入治疗中对血管狭窄病变进行预扩张处理</w:t>
      </w:r>
      <w:r w:rsidRPr="00A272E4">
        <w:rPr>
          <w:rFonts w:eastAsia="仿宋_GB2312"/>
          <w:szCs w:val="32"/>
        </w:rPr>
        <w:t>”</w:t>
      </w:r>
      <w:r w:rsidRPr="00A272E4">
        <w:rPr>
          <w:rFonts w:eastAsia="仿宋_GB2312"/>
          <w:szCs w:val="32"/>
        </w:rPr>
        <w:t>。若临床试验充分入组了轻度钙化病变患者，但中重度钙化病变患者入组较少，无法确认对中重度钙化的安全有效性，需在适用范围中明确中重度钙化不适用。其他开口病变、分叉病变、</w:t>
      </w:r>
      <w:r w:rsidRPr="00A272E4">
        <w:rPr>
          <w:rFonts w:eastAsia="仿宋_GB2312"/>
          <w:szCs w:val="32"/>
        </w:rPr>
        <w:t>CTO</w:t>
      </w:r>
      <w:r w:rsidRPr="00A272E4">
        <w:rPr>
          <w:rFonts w:eastAsia="仿宋_GB2312"/>
          <w:szCs w:val="32"/>
        </w:rPr>
        <w:t>病变、支架内再狭窄、成角病变</w:t>
      </w:r>
      <w:r w:rsidR="00A272E4" w:rsidRPr="00A272E4">
        <w:rPr>
          <w:rFonts w:eastAsia="仿宋_GB2312"/>
          <w:szCs w:val="32"/>
        </w:rPr>
        <w:t>（</w:t>
      </w:r>
      <w:r w:rsidRPr="00A272E4">
        <w:rPr>
          <w:rFonts w:eastAsia="仿宋_GB2312"/>
          <w:szCs w:val="32"/>
        </w:rPr>
        <w:t>成角</w:t>
      </w:r>
      <w:r w:rsidRPr="00A272E4">
        <w:rPr>
          <w:rFonts w:eastAsia="仿宋_GB2312"/>
          <w:szCs w:val="32"/>
        </w:rPr>
        <w:t>&gt;45</w:t>
      </w:r>
      <w:r w:rsidR="00A272E4" w:rsidRPr="00A272E4">
        <w:rPr>
          <w:rFonts w:eastAsia="仿宋_GB2312"/>
          <w:szCs w:val="32"/>
        </w:rPr>
        <w:t>°</w:t>
      </w:r>
      <w:r w:rsidR="00A272E4" w:rsidRPr="00A272E4">
        <w:rPr>
          <w:rFonts w:eastAsia="仿宋_GB2312"/>
          <w:szCs w:val="32"/>
        </w:rPr>
        <w:t>）</w:t>
      </w:r>
      <w:r w:rsidRPr="00A272E4">
        <w:rPr>
          <w:rFonts w:eastAsia="仿宋_GB2312"/>
          <w:szCs w:val="32"/>
        </w:rPr>
        <w:t>等的适用性在说明书中予以明确。</w:t>
      </w:r>
    </w:p>
    <w:p w14:paraId="3B949056" w14:textId="6059E6A8"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切割球囊产品的适用范围描述一般为</w:t>
      </w:r>
      <w:r w:rsidRPr="00A272E4">
        <w:rPr>
          <w:rFonts w:eastAsia="仿宋_GB2312"/>
          <w:szCs w:val="32"/>
        </w:rPr>
        <w:t>“</w:t>
      </w:r>
      <w:r w:rsidRPr="00A272E4">
        <w:rPr>
          <w:rFonts w:eastAsia="仿宋_GB2312"/>
          <w:szCs w:val="32"/>
        </w:rPr>
        <w:t>该产品适用于成人患者经皮冠状动脉介入治疗中，对血管狭窄病变进行预扩张处理。同时靶病变斑块还需具备以下特征：病变长度</w:t>
      </w:r>
      <w:r w:rsidRPr="00A272E4">
        <w:rPr>
          <w:rFonts w:eastAsia="仿宋_GB2312"/>
          <w:szCs w:val="32"/>
        </w:rPr>
        <w:t>≤20mm</w:t>
      </w:r>
      <w:r w:rsidRPr="00A272E4">
        <w:rPr>
          <w:rFonts w:eastAsia="仿宋_GB2312"/>
          <w:szCs w:val="32"/>
        </w:rPr>
        <w:t>的局限性病变；参考血管直径为</w:t>
      </w:r>
      <w:r w:rsidRPr="00A272E4">
        <w:rPr>
          <w:rFonts w:eastAsia="仿宋_GB2312"/>
          <w:szCs w:val="32"/>
        </w:rPr>
        <w:t>2.00mm-4.00mm</w:t>
      </w:r>
      <w:r w:rsidRPr="00A272E4">
        <w:rPr>
          <w:rFonts w:eastAsia="仿宋_GB2312"/>
          <w:szCs w:val="32"/>
        </w:rPr>
        <w:t>；器械容易进入；近侧血管段弯曲度为轻度或中度；病变段非成角（</w:t>
      </w:r>
      <w:r w:rsidRPr="00A272E4">
        <w:rPr>
          <w:rFonts w:eastAsia="仿宋_GB2312"/>
          <w:szCs w:val="32"/>
        </w:rPr>
        <w:t>&lt;45</w:t>
      </w:r>
      <w:r w:rsidR="00A272E4" w:rsidRPr="00A272E4">
        <w:rPr>
          <w:rFonts w:eastAsia="仿宋_GB2312"/>
          <w:szCs w:val="32"/>
        </w:rPr>
        <w:t>°</w:t>
      </w:r>
      <w:r w:rsidRPr="00A272E4">
        <w:rPr>
          <w:rFonts w:eastAsia="仿宋_GB2312"/>
          <w:szCs w:val="32"/>
        </w:rPr>
        <w:t>）；血管造影轮廓平滑</w:t>
      </w:r>
      <w:r w:rsidRPr="00A272E4">
        <w:rPr>
          <w:rFonts w:eastAsia="仿宋_GB2312"/>
          <w:szCs w:val="32"/>
        </w:rPr>
        <w:t>”</w:t>
      </w:r>
      <w:r w:rsidRPr="00A272E4">
        <w:rPr>
          <w:rFonts w:eastAsia="仿宋_GB2312"/>
          <w:szCs w:val="32"/>
        </w:rPr>
        <w:t>。同样，若临床试验充分入组了轻度钙化病变患者，但中重度钙化病变患者入组较少，无法确认对中重度钙化的安全有效性，需在适用范围中明确中重度钙化不适用。</w:t>
      </w:r>
      <w:r w:rsidRPr="00A272E4">
        <w:rPr>
          <w:rFonts w:eastAsia="仿宋_GB2312"/>
          <w:szCs w:val="32"/>
        </w:rPr>
        <w:t>CTO</w:t>
      </w:r>
      <w:r w:rsidRPr="00A272E4">
        <w:rPr>
          <w:rFonts w:eastAsia="仿宋_GB2312"/>
          <w:szCs w:val="32"/>
        </w:rPr>
        <w:t>病变、支架内再狭窄、开口病变、分叉病变成角病变（成角</w:t>
      </w:r>
      <w:r w:rsidRPr="00A272E4">
        <w:rPr>
          <w:rFonts w:eastAsia="仿宋_GB2312"/>
          <w:szCs w:val="32"/>
        </w:rPr>
        <w:t>&gt;45</w:t>
      </w:r>
      <w:r w:rsidR="00A272E4" w:rsidRPr="00A272E4">
        <w:rPr>
          <w:rFonts w:eastAsia="仿宋_GB2312"/>
          <w:szCs w:val="32"/>
        </w:rPr>
        <w:t>°</w:t>
      </w:r>
      <w:r w:rsidRPr="00A272E4">
        <w:rPr>
          <w:rFonts w:eastAsia="仿宋_GB2312"/>
          <w:szCs w:val="32"/>
        </w:rPr>
        <w:t>）等的适用性也需在说明书中予以明确。</w:t>
      </w:r>
    </w:p>
    <w:p w14:paraId="4D71F747" w14:textId="77777777" w:rsidR="00EF465F" w:rsidRPr="00A272E4" w:rsidRDefault="00EF465F" w:rsidP="004776B7">
      <w:pPr>
        <w:keepNext/>
        <w:keepLines/>
        <w:adjustRightInd w:val="0"/>
        <w:snapToGrid w:val="0"/>
        <w:spacing w:line="548" w:lineRule="exact"/>
        <w:ind w:firstLineChars="200" w:firstLine="640"/>
        <w:outlineLvl w:val="0"/>
        <w:rPr>
          <w:rFonts w:eastAsia="黑体"/>
          <w:bCs/>
          <w:kern w:val="44"/>
          <w:szCs w:val="32"/>
        </w:rPr>
      </w:pPr>
      <w:bookmarkStart w:id="17" w:name="_Toc499275628"/>
      <w:r w:rsidRPr="00A272E4">
        <w:rPr>
          <w:rFonts w:eastAsia="黑体"/>
          <w:bCs/>
          <w:kern w:val="44"/>
          <w:szCs w:val="32"/>
        </w:rPr>
        <w:t>五、参考文献</w:t>
      </w:r>
      <w:bookmarkEnd w:id="17"/>
    </w:p>
    <w:p w14:paraId="282835F0" w14:textId="77777777" w:rsidR="00EF465F" w:rsidRPr="00A272E4" w:rsidRDefault="00EF465F" w:rsidP="004776B7">
      <w:pPr>
        <w:overflowPunct w:val="0"/>
        <w:adjustRightInd w:val="0"/>
        <w:snapToGrid w:val="0"/>
        <w:spacing w:line="548" w:lineRule="exact"/>
        <w:ind w:firstLineChars="200" w:firstLine="640"/>
        <w:rPr>
          <w:rFonts w:eastAsia="仿宋_GB2312"/>
          <w:kern w:val="0"/>
          <w:szCs w:val="32"/>
        </w:rPr>
      </w:pPr>
      <w:r w:rsidRPr="00A272E4">
        <w:rPr>
          <w:rFonts w:eastAsia="仿宋_GB2312"/>
          <w:szCs w:val="32"/>
        </w:rPr>
        <w:t>[1]</w:t>
      </w:r>
      <w:r w:rsidRPr="00A272E4">
        <w:rPr>
          <w:rFonts w:eastAsia="仿宋_GB2312"/>
          <w:kern w:val="0"/>
          <w:szCs w:val="32"/>
        </w:rPr>
        <w:t>国家食品药品监督管理总局</w:t>
      </w:r>
      <w:r w:rsidRPr="00A272E4">
        <w:rPr>
          <w:rFonts w:eastAsia="仿宋_GB2312"/>
          <w:kern w:val="0"/>
          <w:szCs w:val="32"/>
        </w:rPr>
        <w:t>.</w:t>
      </w:r>
      <w:r w:rsidRPr="00A272E4">
        <w:rPr>
          <w:rFonts w:eastAsia="仿宋_GB2312"/>
          <w:kern w:val="0"/>
          <w:szCs w:val="32"/>
        </w:rPr>
        <w:t>医疗器械临床试验设计指导原则</w:t>
      </w:r>
      <w:r w:rsidRPr="00A272E4">
        <w:rPr>
          <w:rFonts w:eastAsia="仿宋_GB2312"/>
          <w:kern w:val="0"/>
          <w:szCs w:val="32"/>
        </w:rPr>
        <w:t>:</w:t>
      </w:r>
      <w:r w:rsidRPr="00A272E4">
        <w:rPr>
          <w:rFonts w:eastAsia="仿宋_GB2312"/>
          <w:kern w:val="0"/>
          <w:szCs w:val="32"/>
        </w:rPr>
        <w:t>食品药品监管总局通告</w:t>
      </w:r>
      <w:r w:rsidRPr="00A272E4">
        <w:rPr>
          <w:rFonts w:eastAsia="仿宋_GB2312"/>
          <w:kern w:val="0"/>
          <w:szCs w:val="32"/>
        </w:rPr>
        <w:t>2018</w:t>
      </w:r>
      <w:r w:rsidRPr="00A272E4">
        <w:rPr>
          <w:rFonts w:eastAsia="仿宋_GB2312"/>
          <w:kern w:val="0"/>
          <w:szCs w:val="32"/>
        </w:rPr>
        <w:t>年第</w:t>
      </w:r>
      <w:r w:rsidRPr="00A272E4">
        <w:rPr>
          <w:rFonts w:eastAsia="仿宋_GB2312"/>
          <w:kern w:val="0"/>
          <w:szCs w:val="32"/>
        </w:rPr>
        <w:t>6</w:t>
      </w:r>
      <w:r w:rsidRPr="00A272E4">
        <w:rPr>
          <w:rFonts w:eastAsia="仿宋_GB2312"/>
          <w:kern w:val="0"/>
          <w:szCs w:val="32"/>
        </w:rPr>
        <w:t>号</w:t>
      </w:r>
      <w:r w:rsidRPr="00A272E4">
        <w:rPr>
          <w:rFonts w:eastAsia="仿宋_GB2312"/>
          <w:kern w:val="0"/>
          <w:szCs w:val="32"/>
        </w:rPr>
        <w:t>[Z].</w:t>
      </w:r>
    </w:p>
    <w:p w14:paraId="29A9F52E"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[2]</w:t>
      </w:r>
      <w:r w:rsidRPr="00A272E4">
        <w:rPr>
          <w:rFonts w:eastAsia="仿宋_GB2312"/>
          <w:szCs w:val="32"/>
        </w:rPr>
        <w:t>国家药品监督管理局</w:t>
      </w:r>
      <w:r w:rsidRPr="00A272E4">
        <w:rPr>
          <w:rFonts w:eastAsia="仿宋_GB2312"/>
          <w:szCs w:val="32"/>
        </w:rPr>
        <w:t>.</w:t>
      </w:r>
      <w:r w:rsidRPr="00A272E4">
        <w:rPr>
          <w:rFonts w:eastAsia="仿宋_GB2312"/>
          <w:szCs w:val="32"/>
        </w:rPr>
        <w:t>医疗器械临床评价技术指导原则</w:t>
      </w:r>
      <w:r w:rsidRPr="00A272E4">
        <w:rPr>
          <w:rFonts w:eastAsia="仿宋_GB2312"/>
          <w:szCs w:val="32"/>
        </w:rPr>
        <w:t>:</w:t>
      </w:r>
      <w:r w:rsidRPr="00A272E4">
        <w:rPr>
          <w:rFonts w:eastAsia="仿宋_GB2312"/>
          <w:szCs w:val="32"/>
        </w:rPr>
        <w:t>国家药品监督管理局通告</w:t>
      </w:r>
      <w:r w:rsidRPr="00A272E4">
        <w:rPr>
          <w:rFonts w:eastAsia="仿宋_GB2312"/>
          <w:szCs w:val="32"/>
        </w:rPr>
        <w:t>2021</w:t>
      </w:r>
      <w:r w:rsidRPr="00A272E4">
        <w:rPr>
          <w:rFonts w:eastAsia="仿宋_GB2312"/>
          <w:szCs w:val="32"/>
        </w:rPr>
        <w:t>年第</w:t>
      </w:r>
      <w:r w:rsidRPr="00A272E4">
        <w:rPr>
          <w:rFonts w:eastAsia="仿宋_GB2312"/>
          <w:szCs w:val="32"/>
        </w:rPr>
        <w:t>73</w:t>
      </w:r>
      <w:r w:rsidRPr="00A272E4">
        <w:rPr>
          <w:rFonts w:eastAsia="仿宋_GB2312"/>
          <w:szCs w:val="32"/>
        </w:rPr>
        <w:t>号</w:t>
      </w:r>
      <w:r w:rsidRPr="00A272E4">
        <w:rPr>
          <w:rFonts w:eastAsia="仿宋_GB2312"/>
          <w:szCs w:val="32"/>
        </w:rPr>
        <w:t>[Z].</w:t>
      </w:r>
    </w:p>
    <w:p w14:paraId="782FBA01"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[3]</w:t>
      </w:r>
      <w:r w:rsidRPr="00A272E4">
        <w:rPr>
          <w:rFonts w:eastAsia="仿宋_GB2312"/>
          <w:szCs w:val="32"/>
        </w:rPr>
        <w:t>国家卫生健康委</w:t>
      </w:r>
      <w:r w:rsidRPr="00A272E4">
        <w:rPr>
          <w:rFonts w:eastAsia="仿宋_GB2312"/>
          <w:szCs w:val="32"/>
        </w:rPr>
        <w:t xml:space="preserve">. </w:t>
      </w:r>
      <w:r w:rsidRPr="00A272E4">
        <w:rPr>
          <w:rFonts w:eastAsia="仿宋_GB2312"/>
          <w:szCs w:val="32"/>
        </w:rPr>
        <w:t>国家卫生健康委办公厅关于印发冠状</w:t>
      </w:r>
      <w:r w:rsidRPr="00A272E4">
        <w:rPr>
          <w:rFonts w:eastAsia="仿宋_GB2312"/>
          <w:szCs w:val="32"/>
        </w:rPr>
        <w:lastRenderedPageBreak/>
        <w:t>动脉球囊成形术与支架植入术操作规范</w:t>
      </w:r>
      <w:r w:rsidRPr="00A272E4">
        <w:rPr>
          <w:rFonts w:eastAsia="仿宋_GB2312"/>
          <w:szCs w:val="32"/>
        </w:rPr>
        <w:t>(2022</w:t>
      </w:r>
      <w:r w:rsidRPr="00A272E4">
        <w:rPr>
          <w:rFonts w:eastAsia="仿宋_GB2312"/>
          <w:szCs w:val="32"/>
        </w:rPr>
        <w:t>年版</w:t>
      </w:r>
      <w:r w:rsidRPr="00A272E4">
        <w:rPr>
          <w:rFonts w:eastAsia="仿宋_GB2312"/>
          <w:szCs w:val="32"/>
        </w:rPr>
        <w:t>)</w:t>
      </w:r>
      <w:r w:rsidRPr="00A272E4">
        <w:rPr>
          <w:rFonts w:eastAsia="仿宋_GB2312"/>
          <w:szCs w:val="32"/>
        </w:rPr>
        <w:t>和</w:t>
      </w:r>
      <w:proofErr w:type="gramStart"/>
      <w:r w:rsidRPr="00A272E4">
        <w:rPr>
          <w:rFonts w:eastAsia="仿宋_GB2312"/>
          <w:szCs w:val="32"/>
        </w:rPr>
        <w:t>髋膝关节</w:t>
      </w:r>
      <w:proofErr w:type="gramEnd"/>
      <w:r w:rsidRPr="00A272E4">
        <w:rPr>
          <w:rFonts w:eastAsia="仿宋_GB2312"/>
          <w:szCs w:val="32"/>
        </w:rPr>
        <w:t>置换术操作规范</w:t>
      </w:r>
      <w:r w:rsidRPr="00A272E4">
        <w:rPr>
          <w:rFonts w:eastAsia="仿宋_GB2312"/>
          <w:szCs w:val="32"/>
        </w:rPr>
        <w:t>(2022</w:t>
      </w:r>
      <w:r w:rsidRPr="00A272E4">
        <w:rPr>
          <w:rFonts w:eastAsia="仿宋_GB2312"/>
          <w:szCs w:val="32"/>
        </w:rPr>
        <w:t>年版</w:t>
      </w:r>
      <w:r w:rsidRPr="00A272E4">
        <w:rPr>
          <w:rFonts w:eastAsia="仿宋_GB2312"/>
          <w:szCs w:val="32"/>
        </w:rPr>
        <w:t>)</w:t>
      </w:r>
      <w:r w:rsidRPr="00A272E4">
        <w:rPr>
          <w:rFonts w:eastAsia="仿宋_GB2312"/>
          <w:szCs w:val="32"/>
        </w:rPr>
        <w:t>的通知</w:t>
      </w:r>
      <w:r w:rsidRPr="00A272E4">
        <w:rPr>
          <w:rFonts w:eastAsia="仿宋_GB2312"/>
          <w:szCs w:val="32"/>
        </w:rPr>
        <w:t>(</w:t>
      </w:r>
      <w:r w:rsidRPr="00A272E4">
        <w:rPr>
          <w:rFonts w:eastAsia="仿宋_GB2312"/>
          <w:szCs w:val="32"/>
        </w:rPr>
        <w:t>国卫办医函〔</w:t>
      </w:r>
      <w:r w:rsidRPr="00A272E4">
        <w:rPr>
          <w:rFonts w:eastAsia="仿宋_GB2312"/>
          <w:szCs w:val="32"/>
        </w:rPr>
        <w:t>2022</w:t>
      </w:r>
      <w:r w:rsidRPr="00A272E4">
        <w:rPr>
          <w:rFonts w:eastAsia="仿宋_GB2312"/>
          <w:szCs w:val="32"/>
        </w:rPr>
        <w:t>〕</w:t>
      </w:r>
      <w:r w:rsidRPr="00A272E4">
        <w:rPr>
          <w:rFonts w:eastAsia="仿宋_GB2312"/>
          <w:szCs w:val="32"/>
        </w:rPr>
        <w:t>77</w:t>
      </w:r>
      <w:r w:rsidRPr="00A272E4">
        <w:rPr>
          <w:rFonts w:eastAsia="仿宋_GB2312"/>
          <w:szCs w:val="32"/>
        </w:rPr>
        <w:t>号</w:t>
      </w:r>
      <w:r w:rsidRPr="00A272E4">
        <w:rPr>
          <w:rFonts w:eastAsia="仿宋_GB2312"/>
          <w:szCs w:val="32"/>
        </w:rPr>
        <w:t>) [EB/OL]. (2022-03-21) [2022-11-21]. http://www.nhc.gov.cn/yzygj/s7659/202203/d5cb0d71f5db461da0097c54b8296814.shtml.</w:t>
      </w:r>
    </w:p>
    <w:p w14:paraId="59FF9F77"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[4]</w:t>
      </w:r>
      <w:r w:rsidRPr="00A272E4">
        <w:rPr>
          <w:rFonts w:eastAsia="仿宋_GB2312"/>
          <w:szCs w:val="32"/>
        </w:rPr>
        <w:t>《药物涂层球囊临床应用中国专家共识（第二版）》专家组</w:t>
      </w:r>
      <w:r w:rsidRPr="00A272E4">
        <w:rPr>
          <w:rFonts w:eastAsia="仿宋_GB2312"/>
          <w:szCs w:val="32"/>
        </w:rPr>
        <w:t xml:space="preserve">. </w:t>
      </w:r>
      <w:r w:rsidRPr="00A272E4">
        <w:rPr>
          <w:rFonts w:eastAsia="仿宋_GB2312"/>
          <w:szCs w:val="32"/>
        </w:rPr>
        <w:t>药物涂层球囊临床应用中国专家共识（第二版）</w:t>
      </w:r>
      <w:r w:rsidRPr="00A272E4">
        <w:rPr>
          <w:rFonts w:eastAsia="仿宋_GB2312"/>
          <w:szCs w:val="32"/>
        </w:rPr>
        <w:t xml:space="preserve">[J]. </w:t>
      </w:r>
      <w:r w:rsidRPr="00A272E4">
        <w:rPr>
          <w:rFonts w:eastAsia="仿宋_GB2312"/>
          <w:szCs w:val="32"/>
        </w:rPr>
        <w:t>中国介入心脏病学杂志</w:t>
      </w:r>
      <w:r w:rsidRPr="00A272E4">
        <w:rPr>
          <w:rFonts w:eastAsia="仿宋_GB2312"/>
          <w:szCs w:val="32"/>
        </w:rPr>
        <w:t>, 2023</w:t>
      </w:r>
      <w:r w:rsidRPr="00A272E4">
        <w:rPr>
          <w:rFonts w:eastAsia="仿宋_GB2312"/>
          <w:szCs w:val="32"/>
        </w:rPr>
        <w:t>，</w:t>
      </w:r>
      <w:r w:rsidRPr="00A272E4">
        <w:rPr>
          <w:rFonts w:eastAsia="仿宋_GB2312"/>
          <w:szCs w:val="32"/>
        </w:rPr>
        <w:t>6(31):413-426.</w:t>
      </w:r>
    </w:p>
    <w:p w14:paraId="3E956FAC"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[5]</w:t>
      </w:r>
      <w:r w:rsidRPr="00A272E4">
        <w:rPr>
          <w:rFonts w:eastAsia="仿宋_GB2312"/>
          <w:szCs w:val="32"/>
        </w:rPr>
        <w:t>中华医学会心血管病分会介入心脏病学组，中国医师协会心血管内科医师分会血栓防治专业委员会，中华心血管病杂志编辑委员会</w:t>
      </w:r>
      <w:r w:rsidRPr="00A272E4">
        <w:rPr>
          <w:rFonts w:eastAsia="仿宋_GB2312"/>
          <w:szCs w:val="32"/>
        </w:rPr>
        <w:t xml:space="preserve">. </w:t>
      </w:r>
      <w:r w:rsidRPr="00A272E4">
        <w:rPr>
          <w:rFonts w:eastAsia="仿宋_GB2312"/>
          <w:szCs w:val="32"/>
        </w:rPr>
        <w:t>中国经皮冠状动脉介入治疗指南</w:t>
      </w:r>
      <w:r w:rsidRPr="00A272E4">
        <w:rPr>
          <w:rFonts w:eastAsia="仿宋_GB2312"/>
          <w:szCs w:val="32"/>
        </w:rPr>
        <w:t xml:space="preserve">[J]. </w:t>
      </w:r>
      <w:r w:rsidRPr="00A272E4">
        <w:rPr>
          <w:rFonts w:eastAsia="仿宋_GB2312"/>
          <w:szCs w:val="32"/>
        </w:rPr>
        <w:t>中华心血管病杂志</w:t>
      </w:r>
      <w:r w:rsidRPr="00A272E4">
        <w:rPr>
          <w:rFonts w:eastAsia="仿宋_GB2312"/>
          <w:szCs w:val="32"/>
        </w:rPr>
        <w:t>, 2016, 5(44): 382-400.</w:t>
      </w:r>
    </w:p>
    <w:p w14:paraId="05E9F25A"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[6]</w:t>
      </w:r>
      <w:r w:rsidRPr="00A272E4">
        <w:rPr>
          <w:rFonts w:eastAsia="仿宋_GB2312"/>
          <w:szCs w:val="32"/>
        </w:rPr>
        <w:t>中华医学会心血管病学分会</w:t>
      </w:r>
      <w:r w:rsidRPr="00A272E4">
        <w:rPr>
          <w:rFonts w:eastAsia="仿宋_GB2312"/>
          <w:szCs w:val="32"/>
        </w:rPr>
        <w:t xml:space="preserve">. </w:t>
      </w:r>
      <w:r w:rsidRPr="00A272E4">
        <w:rPr>
          <w:rFonts w:eastAsia="仿宋_GB2312"/>
          <w:szCs w:val="32"/>
        </w:rPr>
        <w:t>冠状动脉生物可吸收支架临床应用中国专家共识</w:t>
      </w:r>
      <w:r w:rsidRPr="00A272E4">
        <w:rPr>
          <w:rFonts w:eastAsia="仿宋_GB2312"/>
          <w:szCs w:val="32"/>
        </w:rPr>
        <w:t xml:space="preserve">[J]. </w:t>
      </w:r>
      <w:r w:rsidRPr="00A272E4">
        <w:rPr>
          <w:rFonts w:eastAsia="仿宋_GB2312"/>
          <w:szCs w:val="32"/>
        </w:rPr>
        <w:t>中华心血管病杂志，</w:t>
      </w:r>
      <w:r w:rsidRPr="00A272E4">
        <w:rPr>
          <w:rFonts w:eastAsia="仿宋_GB2312"/>
          <w:szCs w:val="32"/>
        </w:rPr>
        <w:t>2020, 5(48): 350-358.</w:t>
      </w:r>
    </w:p>
    <w:p w14:paraId="7B032A81"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[7]</w:t>
      </w:r>
      <w:r w:rsidRPr="00A272E4">
        <w:rPr>
          <w:rFonts w:eastAsia="仿宋_GB2312"/>
          <w:szCs w:val="32"/>
        </w:rPr>
        <w:t>《冠状动脉钙化病变诊治中国专家共识》专家组</w:t>
      </w:r>
      <w:r w:rsidRPr="00A272E4">
        <w:rPr>
          <w:rFonts w:eastAsia="仿宋_GB2312"/>
          <w:szCs w:val="32"/>
        </w:rPr>
        <w:t xml:space="preserve">. </w:t>
      </w:r>
      <w:r w:rsidRPr="00A272E4">
        <w:rPr>
          <w:rFonts w:eastAsia="仿宋_GB2312"/>
          <w:szCs w:val="32"/>
        </w:rPr>
        <w:t>冠状动脉钙化病变诊治中国专家共识</w:t>
      </w:r>
      <w:r w:rsidRPr="00A272E4">
        <w:rPr>
          <w:rFonts w:eastAsia="仿宋_GB2312"/>
          <w:szCs w:val="32"/>
        </w:rPr>
        <w:t xml:space="preserve">. </w:t>
      </w:r>
      <w:r w:rsidRPr="00A272E4">
        <w:rPr>
          <w:rFonts w:eastAsia="仿宋_GB2312"/>
          <w:szCs w:val="32"/>
        </w:rPr>
        <w:t>中国介入心脏病学杂志</w:t>
      </w:r>
      <w:r w:rsidRPr="00A272E4">
        <w:rPr>
          <w:rFonts w:eastAsia="仿宋_GB2312"/>
          <w:szCs w:val="32"/>
        </w:rPr>
        <w:t>, 2021,5(29): 251-259.</w:t>
      </w:r>
    </w:p>
    <w:p w14:paraId="43827F77"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 xml:space="preserve">[8] U.S. Food and Drug Administration. Premarket approval (PMA)-P050018 </w:t>
      </w:r>
      <w:proofErr w:type="spellStart"/>
      <w:r w:rsidRPr="00A272E4">
        <w:rPr>
          <w:rFonts w:eastAsia="仿宋_GB2312"/>
          <w:szCs w:val="32"/>
        </w:rPr>
        <w:t>AngioSculpt</w:t>
      </w:r>
      <w:proofErr w:type="spellEnd"/>
      <w:r w:rsidRPr="00A272E4">
        <w:rPr>
          <w:rFonts w:eastAsia="仿宋_GB2312"/>
          <w:szCs w:val="32"/>
        </w:rPr>
        <w:t xml:space="preserve">® </w:t>
      </w:r>
      <w:proofErr w:type="spellStart"/>
      <w:r w:rsidRPr="00A272E4">
        <w:rPr>
          <w:rFonts w:eastAsia="仿宋_GB2312"/>
          <w:szCs w:val="32"/>
        </w:rPr>
        <w:t>Evo</w:t>
      </w:r>
      <w:proofErr w:type="spellEnd"/>
      <w:r w:rsidRPr="00A272E4">
        <w:rPr>
          <w:rFonts w:eastAsia="仿宋_GB2312"/>
          <w:szCs w:val="32"/>
        </w:rPr>
        <w:t xml:space="preserve"> RX PTCA scoring balloon catheter with hydrophilic coating[EB/OL]. (2021-12-</w:t>
      </w:r>
      <w:proofErr w:type="gramStart"/>
      <w:r w:rsidRPr="00A272E4">
        <w:rPr>
          <w:rFonts w:eastAsia="仿宋_GB2312"/>
          <w:szCs w:val="32"/>
        </w:rPr>
        <w:t>23)[</w:t>
      </w:r>
      <w:proofErr w:type="gramEnd"/>
      <w:r w:rsidRPr="00A272E4">
        <w:rPr>
          <w:rFonts w:eastAsia="仿宋_GB2312"/>
          <w:szCs w:val="32"/>
        </w:rPr>
        <w:t>2022-11-21]. https://www.accessdata.fda.gov/scripts/cdrh/cfdocs/cfpma/pma.cfm</w:t>
      </w:r>
      <w:r w:rsidRPr="00A272E4">
        <w:rPr>
          <w:rFonts w:eastAsia="仿宋_GB2312"/>
          <w:szCs w:val="32"/>
        </w:rPr>
        <w:lastRenderedPageBreak/>
        <w:t>?id=P050018S030.</w:t>
      </w:r>
    </w:p>
    <w:p w14:paraId="0060C197"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 xml:space="preserve">[9] U.S. Food and Drug Administration. Premarket approval </w:t>
      </w:r>
      <w:bookmarkStart w:id="18" w:name="_GoBack"/>
      <w:bookmarkEnd w:id="18"/>
      <w:r w:rsidRPr="00A272E4">
        <w:rPr>
          <w:rFonts w:eastAsia="仿宋_GB2312"/>
          <w:szCs w:val="32"/>
        </w:rPr>
        <w:t xml:space="preserve">(PMA)- p020037 FX </w:t>
      </w:r>
      <w:proofErr w:type="spellStart"/>
      <w:r w:rsidRPr="00A272E4">
        <w:rPr>
          <w:rFonts w:eastAsia="仿宋_GB2312"/>
          <w:szCs w:val="32"/>
        </w:rPr>
        <w:t>minirail</w:t>
      </w:r>
      <w:proofErr w:type="spellEnd"/>
      <w:r w:rsidRPr="00A272E4">
        <w:rPr>
          <w:rFonts w:eastAsia="仿宋_GB2312"/>
          <w:szCs w:val="32"/>
        </w:rPr>
        <w:t xml:space="preserve"> RX percutaneous transluminal coronary angioplasty (PTCA) catheter [EB/OL]. (2003-06-11) [2022-11-21]. https://www.accessdata.fda.gov/scripts/cdrh/cfdocs/cfpma/pma.cfm?id=P020037.</w:t>
      </w:r>
    </w:p>
    <w:p w14:paraId="1AEF6AAA"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 xml:space="preserve">[10] U.S. Food and Drug Administration. Premarket approval (PMA)- P200041 </w:t>
      </w:r>
      <w:proofErr w:type="spellStart"/>
      <w:r w:rsidRPr="00A272E4">
        <w:rPr>
          <w:rFonts w:eastAsia="仿宋_GB2312"/>
          <w:szCs w:val="32"/>
        </w:rPr>
        <w:t>scoreflex</w:t>
      </w:r>
      <w:proofErr w:type="spellEnd"/>
      <w:r w:rsidRPr="00A272E4">
        <w:rPr>
          <w:rFonts w:eastAsia="仿宋_GB2312"/>
          <w:szCs w:val="32"/>
        </w:rPr>
        <w:t xml:space="preserve"> NC scoring PTCA catheter [EB/OL]. (2021-12-</w:t>
      </w:r>
      <w:proofErr w:type="gramStart"/>
      <w:r w:rsidRPr="00A272E4">
        <w:rPr>
          <w:rFonts w:eastAsia="仿宋_GB2312"/>
          <w:szCs w:val="32"/>
        </w:rPr>
        <w:t>21)[</w:t>
      </w:r>
      <w:proofErr w:type="gramEnd"/>
      <w:r w:rsidRPr="00A272E4">
        <w:rPr>
          <w:rFonts w:eastAsia="仿宋_GB2312"/>
          <w:szCs w:val="32"/>
        </w:rPr>
        <w:t>2022-11-21]. https://www.accessdata.fda.gov/scripts/cdrh/cfdocs/cfpma/pma.cfm?id=P200041.</w:t>
      </w:r>
    </w:p>
    <w:p w14:paraId="6DDBC70F" w14:textId="77777777" w:rsidR="00EF465F" w:rsidRPr="00A272E4" w:rsidRDefault="00EF465F" w:rsidP="004776B7">
      <w:pPr>
        <w:overflowPunct w:val="0"/>
        <w:adjustRightInd w:val="0"/>
        <w:snapToGrid w:val="0"/>
        <w:spacing w:line="548" w:lineRule="exact"/>
        <w:ind w:firstLineChars="200" w:firstLine="640"/>
        <w:rPr>
          <w:rFonts w:eastAsia="仿宋_GB2312"/>
          <w:szCs w:val="32"/>
        </w:rPr>
      </w:pPr>
      <w:r w:rsidRPr="00A272E4">
        <w:rPr>
          <w:rFonts w:eastAsia="仿宋_GB2312"/>
          <w:szCs w:val="32"/>
        </w:rPr>
        <w:t>[11]</w:t>
      </w:r>
      <w:r w:rsidRPr="00A272E4">
        <w:rPr>
          <w:rFonts w:eastAsia="等线"/>
          <w:sz w:val="21"/>
          <w:szCs w:val="22"/>
        </w:rPr>
        <w:t xml:space="preserve"> </w:t>
      </w:r>
      <w:r w:rsidRPr="00A272E4">
        <w:rPr>
          <w:rFonts w:eastAsia="仿宋_GB2312"/>
          <w:szCs w:val="32"/>
        </w:rPr>
        <w:t xml:space="preserve">U.S. Food and Drug Administration. Certain Percutaneous Transluminal Coronary Angioplasty (PTCA) Catheters - </w:t>
      </w:r>
      <w:proofErr w:type="spellStart"/>
      <w:r w:rsidRPr="00A272E4">
        <w:rPr>
          <w:rFonts w:eastAsia="仿宋_GB2312"/>
          <w:szCs w:val="32"/>
        </w:rPr>
        <w:t>ClassⅡ</w:t>
      </w:r>
      <w:proofErr w:type="spellEnd"/>
      <w:r w:rsidRPr="00A272E4">
        <w:rPr>
          <w:rFonts w:eastAsia="仿宋_GB2312"/>
          <w:szCs w:val="32"/>
        </w:rPr>
        <w:t xml:space="preserve"> </w:t>
      </w:r>
      <w:proofErr w:type="spellStart"/>
      <w:r w:rsidRPr="00A272E4">
        <w:rPr>
          <w:rFonts w:eastAsia="仿宋_GB2312"/>
          <w:szCs w:val="32"/>
        </w:rPr>
        <w:t>SpecialControls</w:t>
      </w:r>
      <w:proofErr w:type="spellEnd"/>
      <w:r w:rsidRPr="00A272E4">
        <w:rPr>
          <w:rFonts w:eastAsia="仿宋_GB2312"/>
          <w:szCs w:val="32"/>
        </w:rPr>
        <w:t xml:space="preserve"> Guidance for Industry and FDA[EB/OL</w:t>
      </w:r>
      <w:proofErr w:type="gramStart"/>
      <w:r w:rsidRPr="00A272E4">
        <w:rPr>
          <w:rFonts w:eastAsia="仿宋_GB2312"/>
          <w:szCs w:val="32"/>
        </w:rPr>
        <w:t>].(</w:t>
      </w:r>
      <w:proofErr w:type="gramEnd"/>
      <w:r w:rsidRPr="00A272E4">
        <w:rPr>
          <w:rFonts w:eastAsia="仿宋_GB2312"/>
          <w:szCs w:val="32"/>
        </w:rPr>
        <w:t>2010-09-08)[2022-11-21]. https://www.fda.gov/medicaldevices/guidance-documents-medical-devices-and-radiationemitting-products/certain-percutaneous-transluminal-coronaryangioplasty-ptca-catheters-class-Ⅱ-special-controls.</w:t>
      </w:r>
    </w:p>
    <w:p w14:paraId="6502FFF5" w14:textId="4F7A7827" w:rsidR="008C389A" w:rsidRPr="00A272E4" w:rsidRDefault="008C389A" w:rsidP="004776B7">
      <w:pPr>
        <w:adjustRightInd w:val="0"/>
        <w:snapToGrid w:val="0"/>
        <w:spacing w:line="548" w:lineRule="exact"/>
        <w:ind w:firstLineChars="200" w:firstLine="640"/>
        <w:rPr>
          <w:rFonts w:eastAsia="仿宋_GB2312"/>
          <w:bCs/>
          <w:szCs w:val="32"/>
        </w:rPr>
      </w:pPr>
    </w:p>
    <w:sectPr w:rsidR="008C389A" w:rsidRPr="00A272E4" w:rsidSect="00343A93">
      <w:footerReference w:type="even" r:id="rId9"/>
      <w:footerReference w:type="default" r:id="rId10"/>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D5CE2" w14:textId="77777777" w:rsidR="00326D8D" w:rsidRDefault="00326D8D" w:rsidP="006C00CB">
      <w:r>
        <w:separator/>
      </w:r>
    </w:p>
  </w:endnote>
  <w:endnote w:type="continuationSeparator" w:id="0">
    <w:p w14:paraId="46F6C11F" w14:textId="77777777" w:rsidR="00326D8D" w:rsidRDefault="00326D8D"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Adobe 仿宋 Std R">
    <w:altName w:val="仿宋"/>
    <w:charset w:val="86"/>
    <w:family w:val="roman"/>
    <w:pitch w:val="default"/>
    <w:sig w:usb0="00000001"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jaVu Sans">
    <w:altName w:val="Times New Roman"/>
    <w:charset w:val="00"/>
    <w:family w:val="roman"/>
    <w:pitch w:val="default"/>
    <w:sig w:usb0="00000000"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0849"/>
      <w:docPartObj>
        <w:docPartGallery w:val="Page Numbers (Bottom of Page)"/>
        <w:docPartUnique/>
      </w:docPartObj>
    </w:sdtPr>
    <w:sdtEndPr/>
    <w:sdtContent>
      <w:p w14:paraId="4ED39970" w14:textId="3934F67D" w:rsidR="00AF5D76" w:rsidRDefault="00AF5D76">
        <w:pPr>
          <w:pStyle w:val="a3"/>
        </w:pPr>
        <w:r w:rsidRPr="00AF5D76">
          <w:rPr>
            <w:sz w:val="28"/>
            <w:szCs w:val="28"/>
          </w:rPr>
          <w:t xml:space="preserve">— </w:t>
        </w:r>
        <w:r w:rsidR="0041581E" w:rsidRPr="00AF5D76">
          <w:rPr>
            <w:sz w:val="28"/>
            <w:szCs w:val="28"/>
          </w:rPr>
          <w:fldChar w:fldCharType="begin"/>
        </w:r>
        <w:r w:rsidRPr="00AF5D76">
          <w:rPr>
            <w:sz w:val="28"/>
            <w:szCs w:val="28"/>
          </w:rPr>
          <w:instrText xml:space="preserve"> PAGE   \* MERGEFORMAT </w:instrText>
        </w:r>
        <w:r w:rsidR="0041581E" w:rsidRPr="00AF5D76">
          <w:rPr>
            <w:sz w:val="28"/>
            <w:szCs w:val="28"/>
          </w:rPr>
          <w:fldChar w:fldCharType="separate"/>
        </w:r>
        <w:r w:rsidR="00A272E4" w:rsidRPr="00A272E4">
          <w:rPr>
            <w:noProof/>
            <w:sz w:val="28"/>
            <w:szCs w:val="28"/>
            <w:lang w:val="zh-CN"/>
          </w:rPr>
          <w:t>10</w:t>
        </w:r>
        <w:r w:rsidR="0041581E" w:rsidRPr="00AF5D76">
          <w:rPr>
            <w:sz w:val="28"/>
            <w:szCs w:val="28"/>
          </w:rPr>
          <w:fldChar w:fldCharType="end"/>
        </w:r>
        <w:r w:rsidRPr="00AF5D76">
          <w:rPr>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A5158" w14:textId="32FABA45" w:rsidR="006C00CB" w:rsidRPr="00AF5D76" w:rsidRDefault="00AF5D76" w:rsidP="00AF5D76">
    <w:pPr>
      <w:pStyle w:val="a3"/>
      <w:jc w:val="right"/>
      <w:rPr>
        <w:sz w:val="28"/>
        <w:szCs w:val="28"/>
      </w:rPr>
    </w:pPr>
    <w:r w:rsidRPr="00AF5D76">
      <w:rPr>
        <w:sz w:val="28"/>
        <w:szCs w:val="28"/>
      </w:rPr>
      <w:t xml:space="preserve">— </w:t>
    </w:r>
    <w:sdt>
      <w:sdtPr>
        <w:rPr>
          <w:sz w:val="28"/>
          <w:szCs w:val="28"/>
        </w:rPr>
        <w:id w:val="90280837"/>
        <w:docPartObj>
          <w:docPartGallery w:val="Page Numbers (Bottom of Page)"/>
          <w:docPartUnique/>
        </w:docPartObj>
      </w:sdtPr>
      <w:sdtEndPr/>
      <w:sdtContent>
        <w:r w:rsidR="0041581E" w:rsidRPr="00AF5D76">
          <w:rPr>
            <w:sz w:val="28"/>
            <w:szCs w:val="28"/>
          </w:rPr>
          <w:fldChar w:fldCharType="begin"/>
        </w:r>
        <w:r w:rsidRPr="00AF5D76">
          <w:rPr>
            <w:sz w:val="28"/>
            <w:szCs w:val="28"/>
          </w:rPr>
          <w:instrText xml:space="preserve"> PAGE   \* MERGEFORMAT </w:instrText>
        </w:r>
        <w:r w:rsidR="0041581E" w:rsidRPr="00AF5D76">
          <w:rPr>
            <w:sz w:val="28"/>
            <w:szCs w:val="28"/>
          </w:rPr>
          <w:fldChar w:fldCharType="separate"/>
        </w:r>
        <w:r w:rsidR="00A272E4" w:rsidRPr="00A272E4">
          <w:rPr>
            <w:noProof/>
            <w:sz w:val="28"/>
            <w:szCs w:val="28"/>
            <w:lang w:val="zh-CN"/>
          </w:rPr>
          <w:t>11</w:t>
        </w:r>
        <w:r w:rsidR="0041581E" w:rsidRPr="00AF5D76">
          <w:rPr>
            <w:sz w:val="28"/>
            <w:szCs w:val="28"/>
          </w:rPr>
          <w:fldChar w:fldCharType="end"/>
        </w:r>
        <w:r w:rsidRPr="00AF5D76">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9EFDA" w14:textId="77777777" w:rsidR="00326D8D" w:rsidRDefault="00326D8D" w:rsidP="006C00CB">
      <w:r>
        <w:separator/>
      </w:r>
    </w:p>
  </w:footnote>
  <w:footnote w:type="continuationSeparator" w:id="0">
    <w:p w14:paraId="04C3DF78" w14:textId="77777777" w:rsidR="00326D8D" w:rsidRDefault="00326D8D" w:rsidP="006C00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9B8A3"/>
    <w:multiLevelType w:val="singleLevel"/>
    <w:tmpl w:val="A759B8A3"/>
    <w:lvl w:ilvl="0">
      <w:start w:val="1"/>
      <w:numFmt w:val="chineseCounting"/>
      <w:suff w:val="nothing"/>
      <w:lvlText w:val="%1、"/>
      <w:lvlJc w:val="left"/>
      <w:pPr>
        <w:ind w:left="0" w:firstLine="420"/>
      </w:pPr>
      <w:rPr>
        <w:rFonts w:hint="eastAsia"/>
      </w:rPr>
    </w:lvl>
  </w:abstractNum>
  <w:abstractNum w:abstractNumId="1" w15:restartNumberingAfterBreak="0">
    <w:nsid w:val="F03E6D0C"/>
    <w:multiLevelType w:val="multilevel"/>
    <w:tmpl w:val="F03E6D0C"/>
    <w:lvl w:ilvl="0">
      <w:start w:val="1"/>
      <w:numFmt w:val="decimal"/>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021475C1"/>
    <w:multiLevelType w:val="multilevel"/>
    <w:tmpl w:val="021475C1"/>
    <w:lvl w:ilvl="0">
      <w:start w:val="3"/>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15:restartNumberingAfterBreak="0">
    <w:nsid w:val="22804A3D"/>
    <w:multiLevelType w:val="multilevel"/>
    <w:tmpl w:val="22804A3D"/>
    <w:lvl w:ilvl="0">
      <w:start w:val="1"/>
      <w:numFmt w:val="decimal"/>
      <w:lvlText w:val="[%1]"/>
      <w:lvlJc w:val="left"/>
      <w:pPr>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339358C6"/>
    <w:multiLevelType w:val="hybridMultilevel"/>
    <w:tmpl w:val="4C8C06E6"/>
    <w:lvl w:ilvl="0" w:tplc="FE96666A">
      <w:start w:val="4"/>
      <w:numFmt w:val="decimal"/>
      <w:lvlText w:val="%1."/>
      <w:lvlJc w:val="left"/>
      <w:pPr>
        <w:ind w:left="100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5" w15:restartNumberingAfterBreak="0">
    <w:nsid w:val="365101A5"/>
    <w:multiLevelType w:val="multilevel"/>
    <w:tmpl w:val="365101A5"/>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4291713A"/>
    <w:multiLevelType w:val="hybridMultilevel"/>
    <w:tmpl w:val="33A48B44"/>
    <w:lvl w:ilvl="0" w:tplc="9692E282">
      <w:start w:val="1"/>
      <w:numFmt w:val="decimal"/>
      <w:lvlText w:val="%1."/>
      <w:lvlJc w:val="left"/>
      <w:pPr>
        <w:ind w:left="1045" w:hanging="405"/>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7" w15:restartNumberingAfterBreak="0">
    <w:nsid w:val="47942A04"/>
    <w:multiLevelType w:val="hybridMultilevel"/>
    <w:tmpl w:val="88D6E25E"/>
    <w:lvl w:ilvl="0" w:tplc="E258CA3A">
      <w:start w:val="1"/>
      <w:numFmt w:val="decimal"/>
      <w:lvlText w:val="%1."/>
      <w:lvlJc w:val="left"/>
      <w:pPr>
        <w:ind w:left="100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8" w15:restartNumberingAfterBreak="0">
    <w:nsid w:val="541F65E1"/>
    <w:multiLevelType w:val="multilevel"/>
    <w:tmpl w:val="541F65E1"/>
    <w:lvl w:ilvl="0">
      <w:start w:val="1"/>
      <w:numFmt w:val="japaneseCounting"/>
      <w:lvlText w:val="（%1）"/>
      <w:lvlJc w:val="left"/>
      <w:pPr>
        <w:ind w:left="1720" w:hanging="1080"/>
      </w:pPr>
      <w:rPr>
        <w:rFonts w:eastAsia="楷体_GB2312"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15:restartNumberingAfterBreak="0">
    <w:nsid w:val="59DB5D4D"/>
    <w:multiLevelType w:val="hybridMultilevel"/>
    <w:tmpl w:val="8CC62358"/>
    <w:lvl w:ilvl="0" w:tplc="2C24AA72">
      <w:start w:val="1"/>
      <w:numFmt w:val="decimal"/>
      <w:lvlText w:val="（%1）"/>
      <w:lvlJc w:val="left"/>
      <w:pPr>
        <w:ind w:left="1720" w:hanging="108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0" w15:restartNumberingAfterBreak="0">
    <w:nsid w:val="5C17374E"/>
    <w:multiLevelType w:val="hybridMultilevel"/>
    <w:tmpl w:val="9DD0A84E"/>
    <w:lvl w:ilvl="0" w:tplc="12164424">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12"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13" w15:restartNumberingAfterBreak="0">
    <w:nsid w:val="61BF1690"/>
    <w:multiLevelType w:val="singleLevel"/>
    <w:tmpl w:val="61BF1690"/>
    <w:lvl w:ilvl="0">
      <w:start w:val="1"/>
      <w:numFmt w:val="decimal"/>
      <w:suff w:val="nothing"/>
      <w:lvlText w:val="%1．"/>
      <w:lvlJc w:val="left"/>
      <w:pPr>
        <w:ind w:left="0" w:firstLine="400"/>
      </w:pPr>
      <w:rPr>
        <w:rFonts w:hint="default"/>
      </w:rPr>
    </w:lvl>
  </w:abstractNum>
  <w:abstractNum w:abstractNumId="14" w15:restartNumberingAfterBreak="0">
    <w:nsid w:val="61BF16CA"/>
    <w:multiLevelType w:val="singleLevel"/>
    <w:tmpl w:val="61BF16CA"/>
    <w:lvl w:ilvl="0">
      <w:start w:val="1"/>
      <w:numFmt w:val="decimal"/>
      <w:suff w:val="nothing"/>
      <w:lvlText w:val="%1．"/>
      <w:lvlJc w:val="left"/>
      <w:pPr>
        <w:ind w:left="0" w:firstLine="400"/>
      </w:pPr>
      <w:rPr>
        <w:rFonts w:hint="default"/>
      </w:rPr>
    </w:lvl>
  </w:abstractNum>
  <w:abstractNum w:abstractNumId="15"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16" w15:restartNumberingAfterBreak="0">
    <w:nsid w:val="61BF170E"/>
    <w:multiLevelType w:val="singleLevel"/>
    <w:tmpl w:val="61BF170E"/>
    <w:lvl w:ilvl="0">
      <w:start w:val="1"/>
      <w:numFmt w:val="decimal"/>
      <w:suff w:val="nothing"/>
      <w:lvlText w:val="%1．"/>
      <w:lvlJc w:val="left"/>
      <w:pPr>
        <w:ind w:left="0" w:firstLine="400"/>
      </w:pPr>
      <w:rPr>
        <w:rFonts w:hint="default"/>
      </w:rPr>
    </w:lvl>
  </w:abstractNum>
  <w:abstractNum w:abstractNumId="17" w15:restartNumberingAfterBreak="0">
    <w:nsid w:val="61BF1747"/>
    <w:multiLevelType w:val="singleLevel"/>
    <w:tmpl w:val="61BF1747"/>
    <w:lvl w:ilvl="0">
      <w:start w:val="1"/>
      <w:numFmt w:val="decimal"/>
      <w:suff w:val="nothing"/>
      <w:lvlText w:val="%1．"/>
      <w:lvlJc w:val="left"/>
      <w:pPr>
        <w:ind w:left="0" w:firstLine="400"/>
      </w:pPr>
      <w:rPr>
        <w:rFonts w:hint="default"/>
      </w:rPr>
    </w:lvl>
  </w:abstractNum>
  <w:abstractNum w:abstractNumId="18"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abstractNum w:abstractNumId="19" w15:restartNumberingAfterBreak="0">
    <w:nsid w:val="61C0225D"/>
    <w:multiLevelType w:val="multilevel"/>
    <w:tmpl w:val="61C0225D"/>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15:restartNumberingAfterBreak="0">
    <w:nsid w:val="74E5537E"/>
    <w:multiLevelType w:val="hybridMultilevel"/>
    <w:tmpl w:val="3638901E"/>
    <w:lvl w:ilvl="0" w:tplc="2BA4C098">
      <w:start w:val="1"/>
      <w:numFmt w:val="decimal"/>
      <w:lvlText w:val="（%1）"/>
      <w:lvlJc w:val="left"/>
      <w:pPr>
        <w:ind w:left="1931" w:hanging="108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2"/>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5"/>
  </w:num>
  <w:num w:numId="10">
    <w:abstractNumId w:val="19"/>
  </w:num>
  <w:num w:numId="11">
    <w:abstractNumId w:val="18"/>
  </w:num>
  <w:num w:numId="12">
    <w:abstractNumId w:val="1"/>
  </w:num>
  <w:num w:numId="13">
    <w:abstractNumId w:val="0"/>
  </w:num>
  <w:num w:numId="14">
    <w:abstractNumId w:val="8"/>
  </w:num>
  <w:num w:numId="15">
    <w:abstractNumId w:val="3"/>
  </w:num>
  <w:num w:numId="16">
    <w:abstractNumId w:val="6"/>
  </w:num>
  <w:num w:numId="1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DEF70035"/>
    <w:rsid w:val="DFFFE17D"/>
    <w:rsid w:val="ED776AC6"/>
    <w:rsid w:val="EF9F915E"/>
    <w:rsid w:val="FBB7C68F"/>
    <w:rsid w:val="FDF752B8"/>
    <w:rsid w:val="FF7F9E8F"/>
    <w:rsid w:val="00020162"/>
    <w:rsid w:val="00021955"/>
    <w:rsid w:val="00021F83"/>
    <w:rsid w:val="00023014"/>
    <w:rsid w:val="00025C39"/>
    <w:rsid w:val="00027B9C"/>
    <w:rsid w:val="00034D7F"/>
    <w:rsid w:val="00041E86"/>
    <w:rsid w:val="00051797"/>
    <w:rsid w:val="00056A28"/>
    <w:rsid w:val="00060C10"/>
    <w:rsid w:val="0006403B"/>
    <w:rsid w:val="0007234C"/>
    <w:rsid w:val="0007686E"/>
    <w:rsid w:val="0009278E"/>
    <w:rsid w:val="00096D33"/>
    <w:rsid w:val="000A2064"/>
    <w:rsid w:val="000A3121"/>
    <w:rsid w:val="000B474B"/>
    <w:rsid w:val="000B4C9B"/>
    <w:rsid w:val="000C1B8C"/>
    <w:rsid w:val="000C3266"/>
    <w:rsid w:val="000C48A1"/>
    <w:rsid w:val="000C4AEF"/>
    <w:rsid w:val="000C562F"/>
    <w:rsid w:val="000D108B"/>
    <w:rsid w:val="000D2410"/>
    <w:rsid w:val="000D3A17"/>
    <w:rsid w:val="000E5335"/>
    <w:rsid w:val="000F1674"/>
    <w:rsid w:val="000F1E05"/>
    <w:rsid w:val="000F2D80"/>
    <w:rsid w:val="000F6CD9"/>
    <w:rsid w:val="00104991"/>
    <w:rsid w:val="001065BB"/>
    <w:rsid w:val="00110FB7"/>
    <w:rsid w:val="00120D72"/>
    <w:rsid w:val="00123599"/>
    <w:rsid w:val="001263C9"/>
    <w:rsid w:val="00145167"/>
    <w:rsid w:val="0015549E"/>
    <w:rsid w:val="0015622E"/>
    <w:rsid w:val="00162B33"/>
    <w:rsid w:val="00171C2D"/>
    <w:rsid w:val="00176B45"/>
    <w:rsid w:val="00182950"/>
    <w:rsid w:val="00190EAC"/>
    <w:rsid w:val="001953F1"/>
    <w:rsid w:val="001967DB"/>
    <w:rsid w:val="001A41CB"/>
    <w:rsid w:val="001A61F4"/>
    <w:rsid w:val="001A71D4"/>
    <w:rsid w:val="001B072E"/>
    <w:rsid w:val="001B3617"/>
    <w:rsid w:val="001B40C8"/>
    <w:rsid w:val="001C3A87"/>
    <w:rsid w:val="001D4CE2"/>
    <w:rsid w:val="001E0961"/>
    <w:rsid w:val="001E3E85"/>
    <w:rsid w:val="001F24DD"/>
    <w:rsid w:val="002018DF"/>
    <w:rsid w:val="00203AD9"/>
    <w:rsid w:val="00204EA5"/>
    <w:rsid w:val="00206171"/>
    <w:rsid w:val="00206CEB"/>
    <w:rsid w:val="002073AC"/>
    <w:rsid w:val="002123CC"/>
    <w:rsid w:val="00212AA2"/>
    <w:rsid w:val="002275D8"/>
    <w:rsid w:val="00233292"/>
    <w:rsid w:val="002345C7"/>
    <w:rsid w:val="00241E57"/>
    <w:rsid w:val="00242375"/>
    <w:rsid w:val="00244DF7"/>
    <w:rsid w:val="00246390"/>
    <w:rsid w:val="00250DDD"/>
    <w:rsid w:val="0025102A"/>
    <w:rsid w:val="0025109D"/>
    <w:rsid w:val="00253374"/>
    <w:rsid w:val="002608E7"/>
    <w:rsid w:val="0026293F"/>
    <w:rsid w:val="0026457F"/>
    <w:rsid w:val="00273598"/>
    <w:rsid w:val="00275A48"/>
    <w:rsid w:val="00277473"/>
    <w:rsid w:val="0028196E"/>
    <w:rsid w:val="002823D9"/>
    <w:rsid w:val="002843C1"/>
    <w:rsid w:val="00285A87"/>
    <w:rsid w:val="002868A9"/>
    <w:rsid w:val="00291522"/>
    <w:rsid w:val="00291759"/>
    <w:rsid w:val="00293324"/>
    <w:rsid w:val="00294D2B"/>
    <w:rsid w:val="00295369"/>
    <w:rsid w:val="002A1DAB"/>
    <w:rsid w:val="002B2048"/>
    <w:rsid w:val="002B24A0"/>
    <w:rsid w:val="002B3D68"/>
    <w:rsid w:val="002C0A1E"/>
    <w:rsid w:val="002C31C1"/>
    <w:rsid w:val="002D3B6C"/>
    <w:rsid w:val="002D7B9C"/>
    <w:rsid w:val="002F2978"/>
    <w:rsid w:val="0030368E"/>
    <w:rsid w:val="00306A55"/>
    <w:rsid w:val="00311B77"/>
    <w:rsid w:val="003137C1"/>
    <w:rsid w:val="0032594F"/>
    <w:rsid w:val="00326D8D"/>
    <w:rsid w:val="00332502"/>
    <w:rsid w:val="00332DE8"/>
    <w:rsid w:val="00342586"/>
    <w:rsid w:val="00343A93"/>
    <w:rsid w:val="003450A4"/>
    <w:rsid w:val="003549E8"/>
    <w:rsid w:val="00355421"/>
    <w:rsid w:val="003559C3"/>
    <w:rsid w:val="00355BDF"/>
    <w:rsid w:val="00361D4D"/>
    <w:rsid w:val="00365AB2"/>
    <w:rsid w:val="0036618B"/>
    <w:rsid w:val="00367C77"/>
    <w:rsid w:val="00373DB8"/>
    <w:rsid w:val="00382229"/>
    <w:rsid w:val="00385D09"/>
    <w:rsid w:val="003A1834"/>
    <w:rsid w:val="003A3A5F"/>
    <w:rsid w:val="003A3EF0"/>
    <w:rsid w:val="003A4539"/>
    <w:rsid w:val="003A7537"/>
    <w:rsid w:val="003B0E1C"/>
    <w:rsid w:val="003B4343"/>
    <w:rsid w:val="003B49C0"/>
    <w:rsid w:val="003C3127"/>
    <w:rsid w:val="003C47FE"/>
    <w:rsid w:val="003C5036"/>
    <w:rsid w:val="003D5B84"/>
    <w:rsid w:val="003D604D"/>
    <w:rsid w:val="003D6E21"/>
    <w:rsid w:val="003E245B"/>
    <w:rsid w:val="0040048B"/>
    <w:rsid w:val="004012BD"/>
    <w:rsid w:val="00410598"/>
    <w:rsid w:val="00411B54"/>
    <w:rsid w:val="00412AFB"/>
    <w:rsid w:val="0041581E"/>
    <w:rsid w:val="00422775"/>
    <w:rsid w:val="00422D3A"/>
    <w:rsid w:val="004270F4"/>
    <w:rsid w:val="00430883"/>
    <w:rsid w:val="00430893"/>
    <w:rsid w:val="004317D2"/>
    <w:rsid w:val="00435AC6"/>
    <w:rsid w:val="00435D97"/>
    <w:rsid w:val="00436F4A"/>
    <w:rsid w:val="00440708"/>
    <w:rsid w:val="00440AA4"/>
    <w:rsid w:val="004410B9"/>
    <w:rsid w:val="00446A08"/>
    <w:rsid w:val="0045151A"/>
    <w:rsid w:val="004579E9"/>
    <w:rsid w:val="00460BA2"/>
    <w:rsid w:val="00463CD3"/>
    <w:rsid w:val="00466C9C"/>
    <w:rsid w:val="004672B3"/>
    <w:rsid w:val="0047535F"/>
    <w:rsid w:val="004776B7"/>
    <w:rsid w:val="00483A83"/>
    <w:rsid w:val="00491487"/>
    <w:rsid w:val="004952C7"/>
    <w:rsid w:val="00497BDB"/>
    <w:rsid w:val="004A092C"/>
    <w:rsid w:val="004B29EE"/>
    <w:rsid w:val="004B2F13"/>
    <w:rsid w:val="004B34C8"/>
    <w:rsid w:val="004C214D"/>
    <w:rsid w:val="004C3BAE"/>
    <w:rsid w:val="004C4DBC"/>
    <w:rsid w:val="004C6424"/>
    <w:rsid w:val="004C7EEC"/>
    <w:rsid w:val="004D14E1"/>
    <w:rsid w:val="004D6C44"/>
    <w:rsid w:val="004E39ED"/>
    <w:rsid w:val="004E6EDE"/>
    <w:rsid w:val="004F0151"/>
    <w:rsid w:val="004F053B"/>
    <w:rsid w:val="004F0BE4"/>
    <w:rsid w:val="004F3040"/>
    <w:rsid w:val="004F636D"/>
    <w:rsid w:val="004F679E"/>
    <w:rsid w:val="005041BA"/>
    <w:rsid w:val="00506944"/>
    <w:rsid w:val="0051082B"/>
    <w:rsid w:val="00516719"/>
    <w:rsid w:val="00527499"/>
    <w:rsid w:val="005277E2"/>
    <w:rsid w:val="00530384"/>
    <w:rsid w:val="00534F4C"/>
    <w:rsid w:val="005362F7"/>
    <w:rsid w:val="0054109F"/>
    <w:rsid w:val="00541AC6"/>
    <w:rsid w:val="005609D1"/>
    <w:rsid w:val="00585F2A"/>
    <w:rsid w:val="005972F0"/>
    <w:rsid w:val="005A1410"/>
    <w:rsid w:val="005A204F"/>
    <w:rsid w:val="005A384D"/>
    <w:rsid w:val="005A3C5D"/>
    <w:rsid w:val="005A784C"/>
    <w:rsid w:val="005B2839"/>
    <w:rsid w:val="005B30DE"/>
    <w:rsid w:val="005B36C4"/>
    <w:rsid w:val="005B5B49"/>
    <w:rsid w:val="005C2C56"/>
    <w:rsid w:val="005D1959"/>
    <w:rsid w:val="005E00E1"/>
    <w:rsid w:val="005E3D29"/>
    <w:rsid w:val="005E5317"/>
    <w:rsid w:val="005E6673"/>
    <w:rsid w:val="005F708E"/>
    <w:rsid w:val="00601276"/>
    <w:rsid w:val="006014D4"/>
    <w:rsid w:val="00605123"/>
    <w:rsid w:val="00606B13"/>
    <w:rsid w:val="00612798"/>
    <w:rsid w:val="00623C5B"/>
    <w:rsid w:val="00631086"/>
    <w:rsid w:val="006314F1"/>
    <w:rsid w:val="00635751"/>
    <w:rsid w:val="006375FD"/>
    <w:rsid w:val="0064099E"/>
    <w:rsid w:val="00653118"/>
    <w:rsid w:val="0065351C"/>
    <w:rsid w:val="006568F8"/>
    <w:rsid w:val="00665F19"/>
    <w:rsid w:val="006673BF"/>
    <w:rsid w:val="006678BD"/>
    <w:rsid w:val="00670933"/>
    <w:rsid w:val="006804CE"/>
    <w:rsid w:val="00691D70"/>
    <w:rsid w:val="00693F5E"/>
    <w:rsid w:val="006A1165"/>
    <w:rsid w:val="006A2511"/>
    <w:rsid w:val="006A41A7"/>
    <w:rsid w:val="006A55B3"/>
    <w:rsid w:val="006B3F29"/>
    <w:rsid w:val="006B5D56"/>
    <w:rsid w:val="006C00CB"/>
    <w:rsid w:val="006C44B9"/>
    <w:rsid w:val="006C7F37"/>
    <w:rsid w:val="006D2E07"/>
    <w:rsid w:val="006E24E9"/>
    <w:rsid w:val="006E3497"/>
    <w:rsid w:val="006E5C59"/>
    <w:rsid w:val="006E5EB4"/>
    <w:rsid w:val="006E68A9"/>
    <w:rsid w:val="006E7148"/>
    <w:rsid w:val="006F26CE"/>
    <w:rsid w:val="006F6B85"/>
    <w:rsid w:val="007126C5"/>
    <w:rsid w:val="007143B9"/>
    <w:rsid w:val="00716619"/>
    <w:rsid w:val="00716852"/>
    <w:rsid w:val="00717C5D"/>
    <w:rsid w:val="007258EA"/>
    <w:rsid w:val="00725E46"/>
    <w:rsid w:val="007301F0"/>
    <w:rsid w:val="00732D37"/>
    <w:rsid w:val="0074047D"/>
    <w:rsid w:val="00744F00"/>
    <w:rsid w:val="00745098"/>
    <w:rsid w:val="00747D80"/>
    <w:rsid w:val="00762744"/>
    <w:rsid w:val="007646FC"/>
    <w:rsid w:val="007649B2"/>
    <w:rsid w:val="00771418"/>
    <w:rsid w:val="007774D4"/>
    <w:rsid w:val="00777DA6"/>
    <w:rsid w:val="00777E11"/>
    <w:rsid w:val="00780978"/>
    <w:rsid w:val="0078156E"/>
    <w:rsid w:val="00786D0A"/>
    <w:rsid w:val="00787F7E"/>
    <w:rsid w:val="007904F6"/>
    <w:rsid w:val="007953AA"/>
    <w:rsid w:val="007A4734"/>
    <w:rsid w:val="007A5333"/>
    <w:rsid w:val="007A7734"/>
    <w:rsid w:val="007B0437"/>
    <w:rsid w:val="007B0DBE"/>
    <w:rsid w:val="007B1F99"/>
    <w:rsid w:val="007B2386"/>
    <w:rsid w:val="007B5234"/>
    <w:rsid w:val="007C6000"/>
    <w:rsid w:val="007D341A"/>
    <w:rsid w:val="007D6EC3"/>
    <w:rsid w:val="007E34F4"/>
    <w:rsid w:val="007E6156"/>
    <w:rsid w:val="007F2424"/>
    <w:rsid w:val="007F5D3B"/>
    <w:rsid w:val="00801645"/>
    <w:rsid w:val="00802619"/>
    <w:rsid w:val="0080399D"/>
    <w:rsid w:val="00815364"/>
    <w:rsid w:val="008200C2"/>
    <w:rsid w:val="00821079"/>
    <w:rsid w:val="00826F45"/>
    <w:rsid w:val="00830B79"/>
    <w:rsid w:val="0083144A"/>
    <w:rsid w:val="0083192A"/>
    <w:rsid w:val="00845C30"/>
    <w:rsid w:val="00846FC0"/>
    <w:rsid w:val="008519CA"/>
    <w:rsid w:val="0085573C"/>
    <w:rsid w:val="00856B09"/>
    <w:rsid w:val="00862161"/>
    <w:rsid w:val="0086280B"/>
    <w:rsid w:val="008641C7"/>
    <w:rsid w:val="008645F1"/>
    <w:rsid w:val="008660BE"/>
    <w:rsid w:val="0087280F"/>
    <w:rsid w:val="00874CE3"/>
    <w:rsid w:val="00883BAB"/>
    <w:rsid w:val="008961B3"/>
    <w:rsid w:val="008A1A73"/>
    <w:rsid w:val="008A6230"/>
    <w:rsid w:val="008B115D"/>
    <w:rsid w:val="008B5300"/>
    <w:rsid w:val="008C310F"/>
    <w:rsid w:val="008C389A"/>
    <w:rsid w:val="008D0271"/>
    <w:rsid w:val="008D221E"/>
    <w:rsid w:val="008E0A92"/>
    <w:rsid w:val="008E20D2"/>
    <w:rsid w:val="008E2435"/>
    <w:rsid w:val="008E5277"/>
    <w:rsid w:val="008F121F"/>
    <w:rsid w:val="008F29B5"/>
    <w:rsid w:val="008F3C16"/>
    <w:rsid w:val="008F55AE"/>
    <w:rsid w:val="008F5A54"/>
    <w:rsid w:val="00911387"/>
    <w:rsid w:val="009149F5"/>
    <w:rsid w:val="00920A47"/>
    <w:rsid w:val="0092431F"/>
    <w:rsid w:val="00930BE1"/>
    <w:rsid w:val="009320F9"/>
    <w:rsid w:val="00932E50"/>
    <w:rsid w:val="00935465"/>
    <w:rsid w:val="00937F0E"/>
    <w:rsid w:val="00943FD1"/>
    <w:rsid w:val="00951CB0"/>
    <w:rsid w:val="009543BF"/>
    <w:rsid w:val="00976D21"/>
    <w:rsid w:val="0098100B"/>
    <w:rsid w:val="00981254"/>
    <w:rsid w:val="00981D68"/>
    <w:rsid w:val="0099783A"/>
    <w:rsid w:val="009B3400"/>
    <w:rsid w:val="009B4281"/>
    <w:rsid w:val="009B4B9C"/>
    <w:rsid w:val="009C39C8"/>
    <w:rsid w:val="009C41FF"/>
    <w:rsid w:val="009D7F27"/>
    <w:rsid w:val="009E19DD"/>
    <w:rsid w:val="009E2514"/>
    <w:rsid w:val="009E5453"/>
    <w:rsid w:val="009F1ADA"/>
    <w:rsid w:val="009F209D"/>
    <w:rsid w:val="00A0032A"/>
    <w:rsid w:val="00A00353"/>
    <w:rsid w:val="00A11F7B"/>
    <w:rsid w:val="00A1643C"/>
    <w:rsid w:val="00A16C7E"/>
    <w:rsid w:val="00A17DA0"/>
    <w:rsid w:val="00A23EC2"/>
    <w:rsid w:val="00A245A6"/>
    <w:rsid w:val="00A25C1A"/>
    <w:rsid w:val="00A272E4"/>
    <w:rsid w:val="00A2794A"/>
    <w:rsid w:val="00A37703"/>
    <w:rsid w:val="00A468C1"/>
    <w:rsid w:val="00A561C9"/>
    <w:rsid w:val="00A61290"/>
    <w:rsid w:val="00A61652"/>
    <w:rsid w:val="00A73BFE"/>
    <w:rsid w:val="00A767D5"/>
    <w:rsid w:val="00A770CE"/>
    <w:rsid w:val="00A84059"/>
    <w:rsid w:val="00A913E4"/>
    <w:rsid w:val="00A933A6"/>
    <w:rsid w:val="00AA2CEF"/>
    <w:rsid w:val="00AA4FCB"/>
    <w:rsid w:val="00AA54AC"/>
    <w:rsid w:val="00AA66EE"/>
    <w:rsid w:val="00AB4AC4"/>
    <w:rsid w:val="00AB660B"/>
    <w:rsid w:val="00AB7E5C"/>
    <w:rsid w:val="00AC7657"/>
    <w:rsid w:val="00AC79AE"/>
    <w:rsid w:val="00AD08D9"/>
    <w:rsid w:val="00AD0E31"/>
    <w:rsid w:val="00AD21EC"/>
    <w:rsid w:val="00AD405B"/>
    <w:rsid w:val="00AE14BB"/>
    <w:rsid w:val="00AF3558"/>
    <w:rsid w:val="00AF5D76"/>
    <w:rsid w:val="00B051B8"/>
    <w:rsid w:val="00B164CD"/>
    <w:rsid w:val="00B23681"/>
    <w:rsid w:val="00B41578"/>
    <w:rsid w:val="00B509F6"/>
    <w:rsid w:val="00B62E8D"/>
    <w:rsid w:val="00B63FDD"/>
    <w:rsid w:val="00B66355"/>
    <w:rsid w:val="00B75BBF"/>
    <w:rsid w:val="00B76A25"/>
    <w:rsid w:val="00B9118A"/>
    <w:rsid w:val="00B92262"/>
    <w:rsid w:val="00B97AC7"/>
    <w:rsid w:val="00BA088F"/>
    <w:rsid w:val="00BA5973"/>
    <w:rsid w:val="00BB7B7F"/>
    <w:rsid w:val="00BC2983"/>
    <w:rsid w:val="00BC4B12"/>
    <w:rsid w:val="00BC754A"/>
    <w:rsid w:val="00BC7C84"/>
    <w:rsid w:val="00BD0209"/>
    <w:rsid w:val="00BD07BF"/>
    <w:rsid w:val="00BD0ABE"/>
    <w:rsid w:val="00BD15F3"/>
    <w:rsid w:val="00BD291B"/>
    <w:rsid w:val="00BD300F"/>
    <w:rsid w:val="00BD3EA9"/>
    <w:rsid w:val="00BD5F27"/>
    <w:rsid w:val="00BD5F91"/>
    <w:rsid w:val="00BE2245"/>
    <w:rsid w:val="00BE669C"/>
    <w:rsid w:val="00BE770C"/>
    <w:rsid w:val="00BE7E51"/>
    <w:rsid w:val="00BF1607"/>
    <w:rsid w:val="00BF4F03"/>
    <w:rsid w:val="00BF5031"/>
    <w:rsid w:val="00BF5696"/>
    <w:rsid w:val="00C01FE2"/>
    <w:rsid w:val="00C0562D"/>
    <w:rsid w:val="00C07E65"/>
    <w:rsid w:val="00C10925"/>
    <w:rsid w:val="00C123A7"/>
    <w:rsid w:val="00C151FE"/>
    <w:rsid w:val="00C20D1E"/>
    <w:rsid w:val="00C23DC3"/>
    <w:rsid w:val="00C2478F"/>
    <w:rsid w:val="00C24DD5"/>
    <w:rsid w:val="00C25F69"/>
    <w:rsid w:val="00C266F2"/>
    <w:rsid w:val="00C34D54"/>
    <w:rsid w:val="00C3649B"/>
    <w:rsid w:val="00C40950"/>
    <w:rsid w:val="00C53DD9"/>
    <w:rsid w:val="00C55908"/>
    <w:rsid w:val="00C55B10"/>
    <w:rsid w:val="00C55C2E"/>
    <w:rsid w:val="00C6607D"/>
    <w:rsid w:val="00C70AB4"/>
    <w:rsid w:val="00C73F6A"/>
    <w:rsid w:val="00C8001A"/>
    <w:rsid w:val="00C80298"/>
    <w:rsid w:val="00C84021"/>
    <w:rsid w:val="00C85BF0"/>
    <w:rsid w:val="00C9230A"/>
    <w:rsid w:val="00C93477"/>
    <w:rsid w:val="00C94501"/>
    <w:rsid w:val="00C95490"/>
    <w:rsid w:val="00C95E62"/>
    <w:rsid w:val="00C971DB"/>
    <w:rsid w:val="00CA07BD"/>
    <w:rsid w:val="00CA0BE6"/>
    <w:rsid w:val="00CA6C23"/>
    <w:rsid w:val="00CB4CCD"/>
    <w:rsid w:val="00CB5D4E"/>
    <w:rsid w:val="00CC0E84"/>
    <w:rsid w:val="00CD1907"/>
    <w:rsid w:val="00CD1EF5"/>
    <w:rsid w:val="00CE0420"/>
    <w:rsid w:val="00CE24E2"/>
    <w:rsid w:val="00CE4006"/>
    <w:rsid w:val="00CE56A3"/>
    <w:rsid w:val="00CE619F"/>
    <w:rsid w:val="00CF0267"/>
    <w:rsid w:val="00CF2FEA"/>
    <w:rsid w:val="00CF412A"/>
    <w:rsid w:val="00CF7C46"/>
    <w:rsid w:val="00D076F0"/>
    <w:rsid w:val="00D111B6"/>
    <w:rsid w:val="00D22329"/>
    <w:rsid w:val="00D22486"/>
    <w:rsid w:val="00D22618"/>
    <w:rsid w:val="00D254CE"/>
    <w:rsid w:val="00D256A9"/>
    <w:rsid w:val="00D277BD"/>
    <w:rsid w:val="00D32614"/>
    <w:rsid w:val="00D33E8C"/>
    <w:rsid w:val="00D34887"/>
    <w:rsid w:val="00D36F91"/>
    <w:rsid w:val="00D37F15"/>
    <w:rsid w:val="00D438C3"/>
    <w:rsid w:val="00D4450D"/>
    <w:rsid w:val="00D51144"/>
    <w:rsid w:val="00D53397"/>
    <w:rsid w:val="00D547CC"/>
    <w:rsid w:val="00D623D1"/>
    <w:rsid w:val="00D73732"/>
    <w:rsid w:val="00D73B45"/>
    <w:rsid w:val="00D75035"/>
    <w:rsid w:val="00D752EF"/>
    <w:rsid w:val="00D81C42"/>
    <w:rsid w:val="00D83F01"/>
    <w:rsid w:val="00D860F9"/>
    <w:rsid w:val="00D865D6"/>
    <w:rsid w:val="00D876C7"/>
    <w:rsid w:val="00D97905"/>
    <w:rsid w:val="00DB1CED"/>
    <w:rsid w:val="00DB4520"/>
    <w:rsid w:val="00DB453D"/>
    <w:rsid w:val="00DB5231"/>
    <w:rsid w:val="00DC3951"/>
    <w:rsid w:val="00DC52E2"/>
    <w:rsid w:val="00DD348F"/>
    <w:rsid w:val="00DD68E5"/>
    <w:rsid w:val="00DD693C"/>
    <w:rsid w:val="00DD6F9B"/>
    <w:rsid w:val="00DD740E"/>
    <w:rsid w:val="00DE011A"/>
    <w:rsid w:val="00DE0E1E"/>
    <w:rsid w:val="00DE4C84"/>
    <w:rsid w:val="00DF1CE3"/>
    <w:rsid w:val="00DF7E48"/>
    <w:rsid w:val="00E044A0"/>
    <w:rsid w:val="00E07B8D"/>
    <w:rsid w:val="00E07E6A"/>
    <w:rsid w:val="00E113E4"/>
    <w:rsid w:val="00E11D78"/>
    <w:rsid w:val="00E2533D"/>
    <w:rsid w:val="00E26946"/>
    <w:rsid w:val="00E26E6E"/>
    <w:rsid w:val="00E27767"/>
    <w:rsid w:val="00E32489"/>
    <w:rsid w:val="00E343F9"/>
    <w:rsid w:val="00E44151"/>
    <w:rsid w:val="00E44F1E"/>
    <w:rsid w:val="00E4620C"/>
    <w:rsid w:val="00E4635F"/>
    <w:rsid w:val="00E5241C"/>
    <w:rsid w:val="00E539BC"/>
    <w:rsid w:val="00E6036E"/>
    <w:rsid w:val="00E65A32"/>
    <w:rsid w:val="00E702CC"/>
    <w:rsid w:val="00E72CC1"/>
    <w:rsid w:val="00E72EF4"/>
    <w:rsid w:val="00E7330F"/>
    <w:rsid w:val="00E75AC8"/>
    <w:rsid w:val="00E771F1"/>
    <w:rsid w:val="00E9251C"/>
    <w:rsid w:val="00E93323"/>
    <w:rsid w:val="00E93952"/>
    <w:rsid w:val="00E9745E"/>
    <w:rsid w:val="00EA0E08"/>
    <w:rsid w:val="00EA2FB4"/>
    <w:rsid w:val="00EA324B"/>
    <w:rsid w:val="00EA448B"/>
    <w:rsid w:val="00EB15D5"/>
    <w:rsid w:val="00EB1A04"/>
    <w:rsid w:val="00EB3B5C"/>
    <w:rsid w:val="00EC523A"/>
    <w:rsid w:val="00ED0226"/>
    <w:rsid w:val="00ED1FF4"/>
    <w:rsid w:val="00ED2D87"/>
    <w:rsid w:val="00ED2FBE"/>
    <w:rsid w:val="00EE1269"/>
    <w:rsid w:val="00EE261B"/>
    <w:rsid w:val="00EE3620"/>
    <w:rsid w:val="00EE4EBB"/>
    <w:rsid w:val="00EE4EBE"/>
    <w:rsid w:val="00EE6219"/>
    <w:rsid w:val="00EF465F"/>
    <w:rsid w:val="00F01897"/>
    <w:rsid w:val="00F03794"/>
    <w:rsid w:val="00F06428"/>
    <w:rsid w:val="00F13820"/>
    <w:rsid w:val="00F1564E"/>
    <w:rsid w:val="00F16E33"/>
    <w:rsid w:val="00F16FAA"/>
    <w:rsid w:val="00F319B4"/>
    <w:rsid w:val="00F31CB3"/>
    <w:rsid w:val="00F34F5F"/>
    <w:rsid w:val="00F366AC"/>
    <w:rsid w:val="00F45E55"/>
    <w:rsid w:val="00F55DDF"/>
    <w:rsid w:val="00F628E5"/>
    <w:rsid w:val="00F64B0D"/>
    <w:rsid w:val="00F64C90"/>
    <w:rsid w:val="00F75955"/>
    <w:rsid w:val="00F75BE7"/>
    <w:rsid w:val="00F801A1"/>
    <w:rsid w:val="00F81D1A"/>
    <w:rsid w:val="00F832B5"/>
    <w:rsid w:val="00F8461C"/>
    <w:rsid w:val="00F87A8A"/>
    <w:rsid w:val="00F90809"/>
    <w:rsid w:val="00F94ED5"/>
    <w:rsid w:val="00FA0DAD"/>
    <w:rsid w:val="00FA36EA"/>
    <w:rsid w:val="00FB1EC8"/>
    <w:rsid w:val="00FB430E"/>
    <w:rsid w:val="00FB46B2"/>
    <w:rsid w:val="00FB54D4"/>
    <w:rsid w:val="00FC316B"/>
    <w:rsid w:val="00FC6BE6"/>
    <w:rsid w:val="00FD13B7"/>
    <w:rsid w:val="00FD6DE1"/>
    <w:rsid w:val="00FE4139"/>
    <w:rsid w:val="00FE5CC4"/>
    <w:rsid w:val="00FE79F8"/>
    <w:rsid w:val="00FE7BF2"/>
    <w:rsid w:val="00FF0F38"/>
    <w:rsid w:val="00FF2799"/>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DB7CE"/>
  <w15:docId w15:val="{D3568CD7-F726-468F-878F-A4F9FE81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paragraph" w:styleId="2">
    <w:name w:val="heading 2"/>
    <w:basedOn w:val="a"/>
    <w:next w:val="a"/>
    <w:link w:val="20"/>
    <w:uiPriority w:val="9"/>
    <w:semiHidden/>
    <w:unhideWhenUsed/>
    <w:qFormat/>
    <w:rsid w:val="00A16C7E"/>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0"/>
    <w:uiPriority w:val="9"/>
    <w:semiHidden/>
    <w:unhideWhenUsed/>
    <w:qFormat/>
    <w:rsid w:val="00D254CE"/>
    <w:pPr>
      <w:keepNext/>
      <w:keepLines/>
      <w:spacing w:before="260" w:after="260" w:line="416" w:lineRule="auto"/>
      <w:outlineLvl w:val="2"/>
    </w:pPr>
    <w:rPr>
      <w:b/>
      <w:bCs/>
      <w:szCs w:val="32"/>
    </w:rPr>
  </w:style>
  <w:style w:type="paragraph" w:styleId="4">
    <w:name w:val="heading 4"/>
    <w:basedOn w:val="a"/>
    <w:next w:val="a"/>
    <w:link w:val="40"/>
    <w:uiPriority w:val="9"/>
    <w:semiHidden/>
    <w:unhideWhenUsed/>
    <w:qFormat/>
    <w:rsid w:val="00A16C7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paragraph" w:styleId="a5">
    <w:name w:val="header"/>
    <w:basedOn w:val="a"/>
    <w:uiPriority w:val="99"/>
    <w:unhideWhenUsed/>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6">
    <w:name w:val="Balloon Text"/>
    <w:basedOn w:val="a"/>
    <w:link w:val="a7"/>
    <w:uiPriority w:val="99"/>
    <w:semiHidden/>
    <w:unhideWhenUsed/>
    <w:rsid w:val="00410598"/>
    <w:rPr>
      <w:sz w:val="18"/>
      <w:szCs w:val="18"/>
    </w:rPr>
  </w:style>
  <w:style w:type="character" w:customStyle="1" w:styleId="a7">
    <w:name w:val="批注框文本 字符"/>
    <w:basedOn w:val="a0"/>
    <w:link w:val="a6"/>
    <w:uiPriority w:val="99"/>
    <w:semiHidden/>
    <w:rsid w:val="00410598"/>
    <w:rPr>
      <w:rFonts w:ascii="Times New Roman" w:eastAsia="Adobe 仿宋 Std R" w:hAnsi="Times New Roman" w:cs="Times New Roman"/>
      <w:kern w:val="2"/>
      <w:sz w:val="18"/>
      <w:szCs w:val="18"/>
    </w:rPr>
  </w:style>
  <w:style w:type="paragraph" w:styleId="a8">
    <w:name w:val="List Paragraph"/>
    <w:basedOn w:val="a"/>
    <w:link w:val="a9"/>
    <w:uiPriority w:val="34"/>
    <w:unhideWhenUsed/>
    <w:qFormat/>
    <w:rsid w:val="001C3A87"/>
    <w:pPr>
      <w:ind w:firstLineChars="200" w:firstLine="420"/>
    </w:pPr>
  </w:style>
  <w:style w:type="character" w:styleId="aa">
    <w:name w:val="annotation reference"/>
    <w:basedOn w:val="a0"/>
    <w:uiPriority w:val="99"/>
    <w:semiHidden/>
    <w:unhideWhenUsed/>
    <w:rsid w:val="00FB46B2"/>
    <w:rPr>
      <w:sz w:val="21"/>
      <w:szCs w:val="21"/>
    </w:rPr>
  </w:style>
  <w:style w:type="paragraph" w:styleId="ab">
    <w:name w:val="annotation text"/>
    <w:basedOn w:val="a"/>
    <w:link w:val="ac"/>
    <w:uiPriority w:val="99"/>
    <w:semiHidden/>
    <w:unhideWhenUsed/>
    <w:rsid w:val="00FB46B2"/>
    <w:pPr>
      <w:jc w:val="left"/>
    </w:pPr>
  </w:style>
  <w:style w:type="character" w:customStyle="1" w:styleId="ac">
    <w:name w:val="批注文字 字符"/>
    <w:basedOn w:val="a0"/>
    <w:link w:val="ab"/>
    <w:uiPriority w:val="99"/>
    <w:semiHidden/>
    <w:rsid w:val="00FB46B2"/>
    <w:rPr>
      <w:rFonts w:ascii="Times New Roman" w:eastAsia="Adobe 仿宋 Std R" w:hAnsi="Times New Roman" w:cs="Times New Roman"/>
      <w:kern w:val="2"/>
      <w:sz w:val="32"/>
      <w:szCs w:val="24"/>
    </w:rPr>
  </w:style>
  <w:style w:type="paragraph" w:styleId="ad">
    <w:name w:val="annotation subject"/>
    <w:basedOn w:val="ab"/>
    <w:next w:val="ab"/>
    <w:link w:val="ae"/>
    <w:uiPriority w:val="99"/>
    <w:semiHidden/>
    <w:unhideWhenUsed/>
    <w:rsid w:val="00FB46B2"/>
    <w:rPr>
      <w:b/>
      <w:bCs/>
    </w:rPr>
  </w:style>
  <w:style w:type="character" w:customStyle="1" w:styleId="ae">
    <w:name w:val="批注主题 字符"/>
    <w:basedOn w:val="ac"/>
    <w:link w:val="ad"/>
    <w:uiPriority w:val="99"/>
    <w:semiHidden/>
    <w:rsid w:val="00FB46B2"/>
    <w:rPr>
      <w:rFonts w:ascii="Times New Roman" w:eastAsia="Adobe 仿宋 Std R" w:hAnsi="Times New Roman" w:cs="Times New Roman"/>
      <w:b/>
      <w:bCs/>
      <w:kern w:val="2"/>
      <w:sz w:val="32"/>
      <w:szCs w:val="24"/>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character" w:customStyle="1" w:styleId="a9">
    <w:name w:val="列出段落 字符"/>
    <w:link w:val="a8"/>
    <w:uiPriority w:val="34"/>
    <w:rsid w:val="00056A28"/>
    <w:rPr>
      <w:rFonts w:ascii="Times New Roman" w:eastAsia="Adobe 仿宋 Std R" w:hAnsi="Times New Roman" w:cs="Times New Roman"/>
      <w:kern w:val="2"/>
      <w:sz w:val="32"/>
      <w:szCs w:val="24"/>
    </w:rPr>
  </w:style>
  <w:style w:type="paragraph" w:customStyle="1" w:styleId="12">
    <w:name w:val="1"/>
    <w:basedOn w:val="a"/>
    <w:next w:val="a8"/>
    <w:uiPriority w:val="34"/>
    <w:qFormat/>
    <w:rsid w:val="00E7330F"/>
    <w:pPr>
      <w:ind w:firstLineChars="200" w:firstLine="420"/>
    </w:pPr>
    <w:rPr>
      <w:rFonts w:eastAsia="宋体"/>
      <w:sz w:val="21"/>
    </w:rPr>
  </w:style>
  <w:style w:type="character" w:styleId="af">
    <w:name w:val="line number"/>
    <w:basedOn w:val="a0"/>
    <w:uiPriority w:val="99"/>
    <w:semiHidden/>
    <w:unhideWhenUsed/>
    <w:rsid w:val="00EE1269"/>
  </w:style>
  <w:style w:type="character" w:customStyle="1" w:styleId="30">
    <w:name w:val="标题 3 字符"/>
    <w:basedOn w:val="a0"/>
    <w:link w:val="3"/>
    <w:uiPriority w:val="9"/>
    <w:semiHidden/>
    <w:rsid w:val="00D254CE"/>
    <w:rPr>
      <w:rFonts w:ascii="Times New Roman" w:eastAsia="Adobe 仿宋 Std R" w:hAnsi="Times New Roman" w:cs="Times New Roman"/>
      <w:b/>
      <w:bCs/>
      <w:kern w:val="2"/>
      <w:sz w:val="32"/>
      <w:szCs w:val="32"/>
    </w:rPr>
  </w:style>
  <w:style w:type="character" w:customStyle="1" w:styleId="20">
    <w:name w:val="标题 2 字符"/>
    <w:basedOn w:val="a0"/>
    <w:link w:val="2"/>
    <w:uiPriority w:val="9"/>
    <w:semiHidden/>
    <w:rsid w:val="00A16C7E"/>
    <w:rPr>
      <w:rFonts w:asciiTheme="majorHAnsi" w:eastAsiaTheme="majorEastAsia" w:hAnsiTheme="majorHAnsi" w:cstheme="majorBidi"/>
      <w:b/>
      <w:bCs/>
      <w:kern w:val="2"/>
      <w:sz w:val="32"/>
      <w:szCs w:val="32"/>
    </w:rPr>
  </w:style>
  <w:style w:type="character" w:customStyle="1" w:styleId="40">
    <w:name w:val="标题 4 字符"/>
    <w:basedOn w:val="a0"/>
    <w:link w:val="4"/>
    <w:uiPriority w:val="9"/>
    <w:semiHidden/>
    <w:rsid w:val="00A16C7E"/>
    <w:rPr>
      <w:rFonts w:asciiTheme="majorHAnsi" w:eastAsiaTheme="majorEastAsia" w:hAnsiTheme="majorHAnsi" w:cstheme="majorBidi"/>
      <w:b/>
      <w:bCs/>
      <w:kern w:val="2"/>
      <w:sz w:val="28"/>
      <w:szCs w:val="28"/>
    </w:rPr>
  </w:style>
  <w:style w:type="paragraph" w:styleId="af0">
    <w:name w:val="caption"/>
    <w:basedOn w:val="a"/>
    <w:next w:val="a"/>
    <w:uiPriority w:val="35"/>
    <w:unhideWhenUsed/>
    <w:qFormat/>
    <w:rsid w:val="003A4539"/>
    <w:rPr>
      <w:rFonts w:asciiTheme="majorHAnsi" w:eastAsia="黑体" w:hAnsiTheme="majorHAnsi" w:cstheme="majorBidi"/>
      <w:sz w:val="20"/>
      <w:szCs w:val="20"/>
    </w:rPr>
  </w:style>
  <w:style w:type="table" w:styleId="af1">
    <w:name w:val="Table Grid"/>
    <w:basedOn w:val="a1"/>
    <w:uiPriority w:val="59"/>
    <w:qFormat/>
    <w:rsid w:val="003A4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9638">
      <w:bodyDiv w:val="1"/>
      <w:marLeft w:val="0"/>
      <w:marRight w:val="0"/>
      <w:marTop w:val="0"/>
      <w:marBottom w:val="0"/>
      <w:divBdr>
        <w:top w:val="none" w:sz="0" w:space="0" w:color="auto"/>
        <w:left w:val="none" w:sz="0" w:space="0" w:color="auto"/>
        <w:bottom w:val="none" w:sz="0" w:space="0" w:color="auto"/>
        <w:right w:val="none" w:sz="0" w:space="0" w:color="auto"/>
      </w:divBdr>
    </w:div>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714156445">
      <w:bodyDiv w:val="1"/>
      <w:marLeft w:val="0"/>
      <w:marRight w:val="0"/>
      <w:marTop w:val="0"/>
      <w:marBottom w:val="0"/>
      <w:divBdr>
        <w:top w:val="none" w:sz="0" w:space="0" w:color="auto"/>
        <w:left w:val="none" w:sz="0" w:space="0" w:color="auto"/>
        <w:bottom w:val="none" w:sz="0" w:space="0" w:color="auto"/>
        <w:right w:val="none" w:sz="0" w:space="0" w:color="auto"/>
      </w:divBdr>
    </w:div>
    <w:div w:id="1487286401">
      <w:bodyDiv w:val="1"/>
      <w:marLeft w:val="0"/>
      <w:marRight w:val="0"/>
      <w:marTop w:val="0"/>
      <w:marBottom w:val="0"/>
      <w:divBdr>
        <w:top w:val="none" w:sz="0" w:space="0" w:color="auto"/>
        <w:left w:val="none" w:sz="0" w:space="0" w:color="auto"/>
        <w:bottom w:val="none" w:sz="0" w:space="0" w:color="auto"/>
        <w:right w:val="none" w:sz="0" w:space="0" w:color="auto"/>
      </w:divBdr>
    </w:div>
    <w:div w:id="1612669772">
      <w:bodyDiv w:val="1"/>
      <w:marLeft w:val="0"/>
      <w:marRight w:val="0"/>
      <w:marTop w:val="0"/>
      <w:marBottom w:val="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0314-39E6-44B4-A491-3CAEFCBAA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董利华</dc:creator>
  <cp:lastModifiedBy>办公室发文</cp:lastModifiedBy>
  <cp:revision>7</cp:revision>
  <dcterms:created xsi:type="dcterms:W3CDTF">2026-04-28T10:01:00Z</dcterms:created>
  <dcterms:modified xsi:type="dcterms:W3CDTF">2026-04-29T07:03:00Z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